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Content>
        <w:p w14:paraId="4CBEB62F" w14:textId="5B6144D6" w:rsidR="00BF6145" w:rsidRPr="00BF6145" w:rsidRDefault="00BF6145" w:rsidP="00BF6145">
          <w:pPr>
            <w:jc w:val="left"/>
            <w:rPr>
              <w:b/>
              <w:bCs/>
              <w:i/>
              <w:iCs/>
              <w:color w:val="FFFFFF" w:themeColor="background1"/>
              <w:lang w:eastAsia="fr-FR"/>
            </w:rPr>
          </w:pPr>
          <w:r w:rsidRPr="00BF6145">
            <w:rPr>
              <w:b/>
              <w:bCs/>
              <w:i/>
              <w:iCs/>
              <w:noProof/>
              <w:color w:val="FFFFFF" w:themeColor="background1"/>
              <w:lang w:eastAsia="fr-FR"/>
              <w14:ligatures w14:val="standardContextual"/>
            </w:rPr>
            <mc:AlternateContent>
              <mc:Choice Requires="wps">
                <w:drawing>
                  <wp:anchor distT="0" distB="0" distL="114300" distR="114300" simplePos="0" relativeHeight="251653120" behindDoc="1" locked="0" layoutInCell="1" allowOverlap="1" wp14:anchorId="3D9AAEB8" wp14:editId="2C4D209B">
                    <wp:simplePos x="0" y="0"/>
                    <wp:positionH relativeFrom="column">
                      <wp:posOffset>-914400</wp:posOffset>
                    </wp:positionH>
                    <wp:positionV relativeFrom="paragraph">
                      <wp:posOffset>-914400</wp:posOffset>
                    </wp:positionV>
                    <wp:extent cx="15125700" cy="10801350"/>
                    <wp:effectExtent l="0" t="0" r="19050" b="19050"/>
                    <wp:wrapNone/>
                    <wp:docPr id="1844606010" name="Rectangle 4"/>
                    <wp:cNvGraphicFramePr/>
                    <a:graphic xmlns:a="http://schemas.openxmlformats.org/drawingml/2006/main">
                      <a:graphicData uri="http://schemas.microsoft.com/office/word/2010/wordprocessingShape">
                        <wps:wsp>
                          <wps:cNvSpPr/>
                          <wps:spPr>
                            <a:xfrm>
                              <a:off x="0" y="0"/>
                              <a:ext cx="15125700" cy="1080135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68843A" id="Rectangle 4" o:spid="_x0000_s1026" style="position:absolute;margin-left:-1in;margin-top:-1in;width:1191pt;height:850.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" fillcolor="#4472c4 [3204]" strokecolor="#09101d [484]" strokeweight="1pt"/>
                </w:pict>
              </mc:Fallback>
            </mc:AlternateContent>
          </w:r>
          <w:r w:rsidRPr="00BF6145">
            <w:rPr>
              <w:b/>
              <w:bCs/>
              <w:i/>
              <w:iCs/>
              <w:color w:val="FFFFFF" w:themeColor="background1"/>
              <w:lang w:eastAsia="fr-FR"/>
            </w:rPr>
            <w:t>Module 1 : Audit de la situation juridique des personnes et des biens et stratégies patrimoniales civiles</w:t>
          </w:r>
        </w:p>
        <w:p w14:paraId="4B600DB4" w14:textId="2AA6D89F" w:rsidR="00BF6145" w:rsidRPr="00BF6145" w:rsidRDefault="00BF6145" w:rsidP="00BF6145">
          <w:pPr>
            <w:jc w:val="left"/>
            <w:rPr>
              <w:b/>
              <w:bCs/>
              <w:i/>
              <w:iCs/>
              <w:color w:val="FFFFFF" w:themeColor="background1"/>
              <w:lang w:eastAsia="fr-FR"/>
            </w:rPr>
          </w:pPr>
          <w:r w:rsidRPr="00BF6145">
            <w:rPr>
              <w:b/>
              <w:bCs/>
              <w:i/>
              <w:iCs/>
              <w:color w:val="FFFFFF" w:themeColor="background1"/>
              <w:lang w:eastAsia="fr-FR"/>
            </w:rPr>
            <w:t xml:space="preserve">Leçon 4 : La gestion du patrimoine familial en </w:t>
          </w:r>
          <w:r w:rsidRPr="00BF6145">
            <w:rPr>
              <w:b/>
              <w:bCs/>
              <w:i/>
              <w:iCs/>
              <w:color w:val="FFFFFF" w:themeColor="background1"/>
              <w:lang w:eastAsia="fr-FR"/>
            </w:rPr>
            <w:t>présence</w:t>
          </w:r>
          <w:r w:rsidRPr="00BF6145">
            <w:rPr>
              <w:b/>
              <w:bCs/>
              <w:i/>
              <w:iCs/>
              <w:color w:val="FFFFFF" w:themeColor="background1"/>
              <w:lang w:eastAsia="fr-FR"/>
            </w:rPr>
            <w:t xml:space="preserve"> d’un chef ou dirigeant d’entreprise</w:t>
          </w:r>
        </w:p>
        <w:p w14:paraId="5187E587" w14:textId="77777777" w:rsidR="00BF6145" w:rsidRPr="00BF6145" w:rsidRDefault="00BF6145" w:rsidP="00BF6145">
          <w:pPr>
            <w:pStyle w:val="CGPC-elearning"/>
            <w:rPr>
              <w:color w:val="FFFFFF" w:themeColor="background1"/>
              <w:lang w:eastAsia="fr-FR"/>
            </w:rPr>
          </w:pPr>
        </w:p>
        <w:p w14:paraId="12EBB565" w14:textId="77777777" w:rsidR="00BF6145" w:rsidRPr="00BF6145" w:rsidRDefault="00BF6145" w:rsidP="00BF6145">
          <w:pPr>
            <w:pStyle w:val="CGPC-elearning"/>
            <w:rPr>
              <w:color w:val="FFFFFF" w:themeColor="background1"/>
              <w:lang w:eastAsia="fr-FR"/>
            </w:rPr>
          </w:pPr>
        </w:p>
        <w:p w14:paraId="03B9BADD" w14:textId="77777777" w:rsidR="00BF6145" w:rsidRPr="00BF6145" w:rsidRDefault="00BF6145" w:rsidP="00BF6145">
          <w:pPr>
            <w:pStyle w:val="CGPC-elearning"/>
            <w:rPr>
              <w:color w:val="FFFFFF" w:themeColor="background1"/>
              <w:lang w:eastAsia="fr-FR"/>
            </w:rPr>
          </w:pPr>
        </w:p>
        <w:p w14:paraId="166A9F00" w14:textId="77777777" w:rsidR="00BF6145" w:rsidRPr="00BF6145" w:rsidRDefault="00BF6145" w:rsidP="00BF6145">
          <w:pPr>
            <w:pStyle w:val="CGPC-elearning"/>
            <w:rPr>
              <w:color w:val="FFFFFF" w:themeColor="background1"/>
              <w:lang w:eastAsia="fr-FR"/>
            </w:rPr>
          </w:pPr>
        </w:p>
        <w:p w14:paraId="462B182E" w14:textId="77777777" w:rsidR="00BF6145" w:rsidRPr="00BF6145" w:rsidRDefault="00BF6145" w:rsidP="00BF6145">
          <w:pPr>
            <w:pStyle w:val="CGPC-elearning"/>
            <w:rPr>
              <w:color w:val="FFFFFF" w:themeColor="background1"/>
              <w:lang w:eastAsia="fr-FR"/>
            </w:rPr>
          </w:pPr>
        </w:p>
        <w:p w14:paraId="2D8BEDDD" w14:textId="77777777" w:rsidR="00BF6145" w:rsidRPr="00BF6145" w:rsidRDefault="00BF6145" w:rsidP="00BF6145">
          <w:pPr>
            <w:pStyle w:val="CGPC-elearning"/>
            <w:rPr>
              <w:color w:val="FFFFFF" w:themeColor="background1"/>
              <w:lang w:eastAsia="fr-FR"/>
            </w:rPr>
          </w:pPr>
        </w:p>
        <w:p w14:paraId="31BB46AD" w14:textId="77777777" w:rsidR="00BF6145" w:rsidRPr="00BF6145" w:rsidRDefault="00BF6145" w:rsidP="00BF6145">
          <w:pPr>
            <w:pStyle w:val="CGPC-elearning"/>
            <w:rPr>
              <w:color w:val="FFFFFF" w:themeColor="background1"/>
              <w:lang w:eastAsia="fr-FR"/>
            </w:rPr>
          </w:pPr>
        </w:p>
        <w:p w14:paraId="424216A5" w14:textId="77777777" w:rsidR="00BF6145" w:rsidRPr="00BF6145" w:rsidRDefault="00BF6145" w:rsidP="00BF6145">
          <w:pPr>
            <w:pStyle w:val="CGPC-elearning"/>
            <w:rPr>
              <w:color w:val="FFFFFF" w:themeColor="background1"/>
              <w:lang w:eastAsia="fr-FR"/>
            </w:rPr>
          </w:pPr>
        </w:p>
        <w:p w14:paraId="44EA0128" w14:textId="77777777" w:rsidR="00BF6145" w:rsidRPr="00BF6145" w:rsidRDefault="00BF6145" w:rsidP="00BF6145">
          <w:pPr>
            <w:pStyle w:val="CGPC-elearning"/>
            <w:rPr>
              <w:color w:val="FFFFFF" w:themeColor="background1"/>
              <w:lang w:eastAsia="fr-FR"/>
            </w:rPr>
          </w:pPr>
        </w:p>
        <w:p w14:paraId="43E30A0D" w14:textId="2C8F28DB" w:rsidR="00677448" w:rsidRDefault="00BF6145" w:rsidP="00BF6145">
          <w:pPr>
            <w:jc w:val="left"/>
            <w:rPr>
              <w:lang w:eastAsia="fr-FR"/>
            </w:rPr>
          </w:pPr>
          <w:r w:rsidRPr="00BF6145">
            <w:rPr>
              <w:b/>
              <w:bCs/>
              <w:color w:val="FFFFFF" w:themeColor="background1"/>
              <w:sz w:val="60"/>
              <w:szCs w:val="60"/>
              <w:lang w:eastAsia="fr-FR"/>
            </w:rPr>
            <w:t>Chapitre 2 : Des rémunérations du dirigeant d’entreprise en fonction de la forme sociétaire</w:t>
          </w:r>
          <w:r w:rsidRPr="00BF6145">
            <w:rPr>
              <w:b/>
              <w:bCs/>
              <w:color w:val="FFFFFF" w:themeColor="background1"/>
              <w:lang w:eastAsia="fr-FR"/>
            </w:rPr>
            <w:t xml:space="preserve"> </w:t>
          </w:r>
          <w:r w:rsidR="00677448">
            <w:rPr>
              <w:b/>
              <w:bCs/>
              <w:lang w:eastAsia="fr-FR"/>
            </w:rPr>
            <w:br w:type="page"/>
          </w:r>
        </w:p>
      </w:sdtContent>
    </w:sdt>
    <w:sdt>
      <w:sdtPr>
        <w:id w:val="-308484914"/>
        <w:docPartObj>
          <w:docPartGallery w:val="Table of Contents"/>
          <w:docPartUnique/>
        </w:docPartObj>
      </w:sdtPr>
      <w:sdtEndPr>
        <w:rPr>
          <w:b/>
          <w:bCs/>
          <w:noProof/>
        </w:rPr>
      </w:sdtEndPr>
      <w:sdtContent>
        <w:p w14:paraId="33B661DD" w14:textId="24EB5AEF" w:rsidR="00B8067C" w:rsidRPr="00B8067C" w:rsidRDefault="00B8067C" w:rsidP="00B8067C">
          <w:r>
            <w:t>Table des matières</w:t>
          </w:r>
        </w:p>
        <w:p w14:paraId="170FD148" w14:textId="526DB2EE" w:rsidR="00A84649" w:rsidRDefault="00E541EC">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r>
            <w:fldChar w:fldCharType="begin"/>
          </w:r>
          <w:r>
            <w:instrText xml:space="preserve"> TOC \o "1-3" \h \z \u </w:instrText>
          </w:r>
          <w:r>
            <w:fldChar w:fldCharType="separate"/>
          </w:r>
          <w:hyperlink w:anchor="_Toc186712237" w:history="1">
            <w:r w:rsidR="00A84649" w:rsidRPr="00DF6408">
              <w:rPr>
                <w:rStyle w:val="Lienhypertexte"/>
                <w:noProof/>
              </w:rPr>
              <w:t>I.</w:t>
            </w:r>
            <w:r w:rsidR="00A84649">
              <w:rPr>
                <w:rFonts w:asciiTheme="minorHAnsi" w:eastAsiaTheme="minorEastAsia" w:hAnsiTheme="minorHAnsi"/>
                <w:noProof/>
                <w:kern w:val="2"/>
                <w:sz w:val="24"/>
                <w:szCs w:val="24"/>
                <w:lang w:val="en-US"/>
                <w14:ligatures w14:val="standardContextual"/>
              </w:rPr>
              <w:tab/>
            </w:r>
            <w:r w:rsidR="00A84649" w:rsidRPr="00DF6408">
              <w:rPr>
                <w:rStyle w:val="Lienhypertexte"/>
                <w:noProof/>
              </w:rPr>
              <w:t>Formes sociétaires et régime fiscal des rémunérations directes du dirigeant</w:t>
            </w:r>
            <w:r w:rsidR="00A84649">
              <w:rPr>
                <w:noProof/>
                <w:webHidden/>
              </w:rPr>
              <w:tab/>
            </w:r>
            <w:r w:rsidR="00A84649">
              <w:rPr>
                <w:noProof/>
                <w:webHidden/>
              </w:rPr>
              <w:fldChar w:fldCharType="begin"/>
            </w:r>
            <w:r w:rsidR="00A84649">
              <w:rPr>
                <w:noProof/>
                <w:webHidden/>
              </w:rPr>
              <w:instrText xml:space="preserve"> PAGEREF _Toc186712237 \h </w:instrText>
            </w:r>
            <w:r w:rsidR="00A84649">
              <w:rPr>
                <w:noProof/>
                <w:webHidden/>
              </w:rPr>
            </w:r>
            <w:r w:rsidR="00A84649">
              <w:rPr>
                <w:noProof/>
                <w:webHidden/>
              </w:rPr>
              <w:fldChar w:fldCharType="separate"/>
            </w:r>
            <w:r w:rsidR="00A84649">
              <w:rPr>
                <w:noProof/>
                <w:webHidden/>
              </w:rPr>
              <w:t>2</w:t>
            </w:r>
            <w:r w:rsidR="00A84649">
              <w:rPr>
                <w:noProof/>
                <w:webHidden/>
              </w:rPr>
              <w:fldChar w:fldCharType="end"/>
            </w:r>
          </w:hyperlink>
        </w:p>
        <w:p w14:paraId="54DC6696" w14:textId="3BC44BE7"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38" w:history="1">
            <w:r w:rsidRPr="00DF6408">
              <w:rPr>
                <w:rStyle w:val="Lienhypertexte"/>
                <w:noProof/>
              </w:rPr>
              <w:t>1.</w:t>
            </w:r>
            <w:r>
              <w:rPr>
                <w:rFonts w:asciiTheme="minorHAnsi" w:eastAsiaTheme="minorEastAsia" w:hAnsiTheme="minorHAnsi"/>
                <w:noProof/>
                <w:kern w:val="2"/>
                <w:sz w:val="24"/>
                <w:szCs w:val="24"/>
                <w:lang w:val="en-US"/>
                <w14:ligatures w14:val="standardContextual"/>
              </w:rPr>
              <w:tab/>
            </w:r>
            <w:r w:rsidRPr="00DF6408">
              <w:rPr>
                <w:rStyle w:val="Lienhypertexte"/>
                <w:noProof/>
              </w:rPr>
              <w:t>La rémunération de l’exploitant individuel</w:t>
            </w:r>
            <w:r>
              <w:rPr>
                <w:noProof/>
                <w:webHidden/>
              </w:rPr>
              <w:tab/>
            </w:r>
            <w:r>
              <w:rPr>
                <w:noProof/>
                <w:webHidden/>
              </w:rPr>
              <w:fldChar w:fldCharType="begin"/>
            </w:r>
            <w:r>
              <w:rPr>
                <w:noProof/>
                <w:webHidden/>
              </w:rPr>
              <w:instrText xml:space="preserve"> PAGEREF _Toc186712238 \h </w:instrText>
            </w:r>
            <w:r>
              <w:rPr>
                <w:noProof/>
                <w:webHidden/>
              </w:rPr>
            </w:r>
            <w:r>
              <w:rPr>
                <w:noProof/>
                <w:webHidden/>
              </w:rPr>
              <w:fldChar w:fldCharType="separate"/>
            </w:r>
            <w:r>
              <w:rPr>
                <w:noProof/>
                <w:webHidden/>
              </w:rPr>
              <w:t>4</w:t>
            </w:r>
            <w:r>
              <w:rPr>
                <w:noProof/>
                <w:webHidden/>
              </w:rPr>
              <w:fldChar w:fldCharType="end"/>
            </w:r>
          </w:hyperlink>
        </w:p>
        <w:p w14:paraId="26586182" w14:textId="52F7520A"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39" w:history="1">
            <w:r w:rsidRPr="00DF6408">
              <w:rPr>
                <w:rStyle w:val="Lienhypertexte"/>
                <w:noProof/>
              </w:rPr>
              <w:t>2.</w:t>
            </w:r>
            <w:r>
              <w:rPr>
                <w:rFonts w:asciiTheme="minorHAnsi" w:eastAsiaTheme="minorEastAsia" w:hAnsiTheme="minorHAnsi"/>
                <w:noProof/>
                <w:kern w:val="2"/>
                <w:sz w:val="24"/>
                <w:szCs w:val="24"/>
                <w:lang w:val="en-US"/>
                <w14:ligatures w14:val="standardContextual"/>
              </w:rPr>
              <w:tab/>
            </w:r>
            <w:r w:rsidRPr="00DF6408">
              <w:rPr>
                <w:rStyle w:val="Lienhypertexte"/>
                <w:noProof/>
              </w:rPr>
              <w:t>La rémunération des dirigeants associés et des gérants salariés non associés</w:t>
            </w:r>
            <w:r>
              <w:rPr>
                <w:noProof/>
                <w:webHidden/>
              </w:rPr>
              <w:tab/>
            </w:r>
            <w:r>
              <w:rPr>
                <w:noProof/>
                <w:webHidden/>
              </w:rPr>
              <w:fldChar w:fldCharType="begin"/>
            </w:r>
            <w:r>
              <w:rPr>
                <w:noProof/>
                <w:webHidden/>
              </w:rPr>
              <w:instrText xml:space="preserve"> PAGEREF _Toc186712239 \h </w:instrText>
            </w:r>
            <w:r>
              <w:rPr>
                <w:noProof/>
                <w:webHidden/>
              </w:rPr>
            </w:r>
            <w:r>
              <w:rPr>
                <w:noProof/>
                <w:webHidden/>
              </w:rPr>
              <w:fldChar w:fldCharType="separate"/>
            </w:r>
            <w:r>
              <w:rPr>
                <w:noProof/>
                <w:webHidden/>
              </w:rPr>
              <w:t>5</w:t>
            </w:r>
            <w:r>
              <w:rPr>
                <w:noProof/>
                <w:webHidden/>
              </w:rPr>
              <w:fldChar w:fldCharType="end"/>
            </w:r>
          </w:hyperlink>
        </w:p>
        <w:p w14:paraId="27A189FA" w14:textId="11D98E91"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40" w:history="1">
            <w:r w:rsidRPr="00DF6408">
              <w:rPr>
                <w:rStyle w:val="Lienhypertexte"/>
                <w:noProof/>
              </w:rPr>
              <w:t>3.</w:t>
            </w:r>
            <w:r>
              <w:rPr>
                <w:rFonts w:asciiTheme="minorHAnsi" w:eastAsiaTheme="minorEastAsia" w:hAnsiTheme="minorHAnsi"/>
                <w:noProof/>
                <w:kern w:val="2"/>
                <w:sz w:val="24"/>
                <w:szCs w:val="24"/>
                <w:lang w:val="en-US"/>
                <w14:ligatures w14:val="standardContextual"/>
              </w:rPr>
              <w:tab/>
            </w:r>
            <w:r w:rsidRPr="00DF6408">
              <w:rPr>
                <w:rStyle w:val="Lienhypertexte"/>
                <w:noProof/>
              </w:rPr>
              <w:t>La rémunération du gérant d’une société civile</w:t>
            </w:r>
            <w:r>
              <w:rPr>
                <w:noProof/>
                <w:webHidden/>
              </w:rPr>
              <w:tab/>
            </w:r>
            <w:r>
              <w:rPr>
                <w:noProof/>
                <w:webHidden/>
              </w:rPr>
              <w:fldChar w:fldCharType="begin"/>
            </w:r>
            <w:r>
              <w:rPr>
                <w:noProof/>
                <w:webHidden/>
              </w:rPr>
              <w:instrText xml:space="preserve"> PAGEREF _Toc186712240 \h </w:instrText>
            </w:r>
            <w:r>
              <w:rPr>
                <w:noProof/>
                <w:webHidden/>
              </w:rPr>
            </w:r>
            <w:r>
              <w:rPr>
                <w:noProof/>
                <w:webHidden/>
              </w:rPr>
              <w:fldChar w:fldCharType="separate"/>
            </w:r>
            <w:r>
              <w:rPr>
                <w:noProof/>
                <w:webHidden/>
              </w:rPr>
              <w:t>1</w:t>
            </w:r>
            <w:r>
              <w:rPr>
                <w:noProof/>
                <w:webHidden/>
              </w:rPr>
              <w:fldChar w:fldCharType="end"/>
            </w:r>
          </w:hyperlink>
        </w:p>
        <w:p w14:paraId="7B36F5D0" w14:textId="59537C37" w:rsidR="00A84649" w:rsidRDefault="00A84649">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186712241" w:history="1">
            <w:r w:rsidRPr="00DF6408">
              <w:rPr>
                <w:rStyle w:val="Lienhypertexte"/>
                <w:noProof/>
              </w:rPr>
              <w:t>II.</w:t>
            </w:r>
            <w:r>
              <w:rPr>
                <w:rFonts w:asciiTheme="minorHAnsi" w:eastAsiaTheme="minorEastAsia" w:hAnsiTheme="minorHAnsi"/>
                <w:noProof/>
                <w:kern w:val="2"/>
                <w:sz w:val="24"/>
                <w:szCs w:val="24"/>
                <w:lang w:val="en-US"/>
                <w14:ligatures w14:val="standardContextual"/>
              </w:rPr>
              <w:tab/>
            </w:r>
            <w:r w:rsidRPr="00DF6408">
              <w:rPr>
                <w:rStyle w:val="Lienhypertexte"/>
                <w:noProof/>
              </w:rPr>
              <w:t>Le régime fiscal des rémunérations indirectes du dirigeant</w:t>
            </w:r>
            <w:r>
              <w:rPr>
                <w:noProof/>
                <w:webHidden/>
              </w:rPr>
              <w:tab/>
            </w:r>
            <w:r>
              <w:rPr>
                <w:noProof/>
                <w:webHidden/>
              </w:rPr>
              <w:fldChar w:fldCharType="begin"/>
            </w:r>
            <w:r>
              <w:rPr>
                <w:noProof/>
                <w:webHidden/>
              </w:rPr>
              <w:instrText xml:space="preserve"> PAGEREF _Toc186712241 \h </w:instrText>
            </w:r>
            <w:r>
              <w:rPr>
                <w:noProof/>
                <w:webHidden/>
              </w:rPr>
            </w:r>
            <w:r>
              <w:rPr>
                <w:noProof/>
                <w:webHidden/>
              </w:rPr>
              <w:fldChar w:fldCharType="separate"/>
            </w:r>
            <w:r>
              <w:rPr>
                <w:noProof/>
                <w:webHidden/>
              </w:rPr>
              <w:t>4</w:t>
            </w:r>
            <w:r>
              <w:rPr>
                <w:noProof/>
                <w:webHidden/>
              </w:rPr>
              <w:fldChar w:fldCharType="end"/>
            </w:r>
          </w:hyperlink>
        </w:p>
        <w:p w14:paraId="06811D09" w14:textId="67CE0263"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42" w:history="1">
            <w:r w:rsidRPr="00DF6408">
              <w:rPr>
                <w:rStyle w:val="Lienhypertexte"/>
                <w:noProof/>
              </w:rPr>
              <w:t>1.</w:t>
            </w:r>
            <w:r>
              <w:rPr>
                <w:rFonts w:asciiTheme="minorHAnsi" w:eastAsiaTheme="minorEastAsia" w:hAnsiTheme="minorHAnsi"/>
                <w:noProof/>
                <w:kern w:val="2"/>
                <w:sz w:val="24"/>
                <w:szCs w:val="24"/>
                <w:lang w:val="en-US"/>
                <w14:ligatures w14:val="standardContextual"/>
              </w:rPr>
              <w:tab/>
            </w:r>
            <w:r w:rsidRPr="00DF6408">
              <w:rPr>
                <w:rStyle w:val="Lienhypertexte"/>
                <w:noProof/>
              </w:rPr>
              <w:t>La rémunération du compte courant d’associé</w:t>
            </w:r>
            <w:r>
              <w:rPr>
                <w:noProof/>
                <w:webHidden/>
              </w:rPr>
              <w:tab/>
            </w:r>
            <w:r>
              <w:rPr>
                <w:noProof/>
                <w:webHidden/>
              </w:rPr>
              <w:fldChar w:fldCharType="begin"/>
            </w:r>
            <w:r>
              <w:rPr>
                <w:noProof/>
                <w:webHidden/>
              </w:rPr>
              <w:instrText xml:space="preserve"> PAGEREF _Toc186712242 \h </w:instrText>
            </w:r>
            <w:r>
              <w:rPr>
                <w:noProof/>
                <w:webHidden/>
              </w:rPr>
            </w:r>
            <w:r>
              <w:rPr>
                <w:noProof/>
                <w:webHidden/>
              </w:rPr>
              <w:fldChar w:fldCharType="separate"/>
            </w:r>
            <w:r>
              <w:rPr>
                <w:noProof/>
                <w:webHidden/>
              </w:rPr>
              <w:t>6</w:t>
            </w:r>
            <w:r>
              <w:rPr>
                <w:noProof/>
                <w:webHidden/>
              </w:rPr>
              <w:fldChar w:fldCharType="end"/>
            </w:r>
          </w:hyperlink>
        </w:p>
        <w:p w14:paraId="2243881C" w14:textId="0324FA28"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43" w:history="1">
            <w:r w:rsidRPr="00DF6408">
              <w:rPr>
                <w:rStyle w:val="Lienhypertexte"/>
                <w:noProof/>
              </w:rPr>
              <w:t>2.</w:t>
            </w:r>
            <w:r>
              <w:rPr>
                <w:rFonts w:asciiTheme="minorHAnsi" w:eastAsiaTheme="minorEastAsia" w:hAnsiTheme="minorHAnsi"/>
                <w:noProof/>
                <w:kern w:val="2"/>
                <w:sz w:val="24"/>
                <w:szCs w:val="24"/>
                <w:lang w:val="en-US"/>
                <w14:ligatures w14:val="standardContextual"/>
              </w:rPr>
              <w:tab/>
            </w:r>
            <w:r w:rsidRPr="00DF6408">
              <w:rPr>
                <w:rStyle w:val="Lienhypertexte"/>
                <w:noProof/>
              </w:rPr>
              <w:t>L’avantage en nature : complément de rémunération du dirigeant</w:t>
            </w:r>
            <w:r>
              <w:rPr>
                <w:noProof/>
                <w:webHidden/>
              </w:rPr>
              <w:tab/>
            </w:r>
            <w:r>
              <w:rPr>
                <w:noProof/>
                <w:webHidden/>
              </w:rPr>
              <w:fldChar w:fldCharType="begin"/>
            </w:r>
            <w:r>
              <w:rPr>
                <w:noProof/>
                <w:webHidden/>
              </w:rPr>
              <w:instrText xml:space="preserve"> PAGEREF _Toc186712243 \h </w:instrText>
            </w:r>
            <w:r>
              <w:rPr>
                <w:noProof/>
                <w:webHidden/>
              </w:rPr>
            </w:r>
            <w:r>
              <w:rPr>
                <w:noProof/>
                <w:webHidden/>
              </w:rPr>
              <w:fldChar w:fldCharType="separate"/>
            </w:r>
            <w:r>
              <w:rPr>
                <w:noProof/>
                <w:webHidden/>
              </w:rPr>
              <w:t>1</w:t>
            </w:r>
            <w:r>
              <w:rPr>
                <w:noProof/>
                <w:webHidden/>
              </w:rPr>
              <w:fldChar w:fldCharType="end"/>
            </w:r>
          </w:hyperlink>
        </w:p>
        <w:p w14:paraId="13C96999" w14:textId="713114F7" w:rsidR="00A84649" w:rsidRDefault="00A84649">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6712244" w:history="1">
            <w:r w:rsidRPr="00DF6408">
              <w:rPr>
                <w:rStyle w:val="Lienhypertexte"/>
                <w:noProof/>
              </w:rPr>
              <w:t>III.</w:t>
            </w:r>
            <w:r>
              <w:rPr>
                <w:rFonts w:asciiTheme="minorHAnsi" w:eastAsiaTheme="minorEastAsia" w:hAnsiTheme="minorHAnsi"/>
                <w:noProof/>
                <w:kern w:val="2"/>
                <w:sz w:val="24"/>
                <w:szCs w:val="24"/>
                <w:lang w:val="en-US"/>
                <w14:ligatures w14:val="standardContextual"/>
              </w:rPr>
              <w:tab/>
            </w:r>
            <w:r w:rsidRPr="00DF6408">
              <w:rPr>
                <w:rStyle w:val="Lienhypertexte"/>
                <w:noProof/>
              </w:rPr>
              <w:t>Le régime fiscal des rémunérations différées</w:t>
            </w:r>
            <w:r>
              <w:rPr>
                <w:noProof/>
                <w:webHidden/>
              </w:rPr>
              <w:tab/>
            </w:r>
            <w:r>
              <w:rPr>
                <w:noProof/>
                <w:webHidden/>
              </w:rPr>
              <w:fldChar w:fldCharType="begin"/>
            </w:r>
            <w:r>
              <w:rPr>
                <w:noProof/>
                <w:webHidden/>
              </w:rPr>
              <w:instrText xml:space="preserve"> PAGEREF _Toc186712244 \h </w:instrText>
            </w:r>
            <w:r>
              <w:rPr>
                <w:noProof/>
                <w:webHidden/>
              </w:rPr>
            </w:r>
            <w:r>
              <w:rPr>
                <w:noProof/>
                <w:webHidden/>
              </w:rPr>
              <w:fldChar w:fldCharType="separate"/>
            </w:r>
            <w:r>
              <w:rPr>
                <w:noProof/>
                <w:webHidden/>
              </w:rPr>
              <w:t>5</w:t>
            </w:r>
            <w:r>
              <w:rPr>
                <w:noProof/>
                <w:webHidden/>
              </w:rPr>
              <w:fldChar w:fldCharType="end"/>
            </w:r>
          </w:hyperlink>
        </w:p>
        <w:p w14:paraId="30E4DABD" w14:textId="58B5F405"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45" w:history="1">
            <w:r w:rsidRPr="00DF6408">
              <w:rPr>
                <w:rStyle w:val="Lienhypertexte"/>
                <w:noProof/>
              </w:rPr>
              <w:t>1.</w:t>
            </w:r>
            <w:r>
              <w:rPr>
                <w:rFonts w:asciiTheme="minorHAnsi" w:eastAsiaTheme="minorEastAsia" w:hAnsiTheme="minorHAnsi"/>
                <w:noProof/>
                <w:kern w:val="2"/>
                <w:sz w:val="24"/>
                <w:szCs w:val="24"/>
                <w:lang w:val="en-US"/>
                <w14:ligatures w14:val="standardContextual"/>
              </w:rPr>
              <w:tab/>
            </w:r>
            <w:r w:rsidRPr="00DF6408">
              <w:rPr>
                <w:rStyle w:val="Lienhypertexte"/>
                <w:noProof/>
              </w:rPr>
              <w:t>Les dispositifs collectifs d’épargne hors retraite</w:t>
            </w:r>
            <w:r>
              <w:rPr>
                <w:noProof/>
                <w:webHidden/>
              </w:rPr>
              <w:tab/>
            </w:r>
            <w:r>
              <w:rPr>
                <w:noProof/>
                <w:webHidden/>
              </w:rPr>
              <w:fldChar w:fldCharType="begin"/>
            </w:r>
            <w:r>
              <w:rPr>
                <w:noProof/>
                <w:webHidden/>
              </w:rPr>
              <w:instrText xml:space="preserve"> PAGEREF _Toc186712245 \h </w:instrText>
            </w:r>
            <w:r>
              <w:rPr>
                <w:noProof/>
                <w:webHidden/>
              </w:rPr>
            </w:r>
            <w:r>
              <w:rPr>
                <w:noProof/>
                <w:webHidden/>
              </w:rPr>
              <w:fldChar w:fldCharType="separate"/>
            </w:r>
            <w:r>
              <w:rPr>
                <w:noProof/>
                <w:webHidden/>
              </w:rPr>
              <w:t>7</w:t>
            </w:r>
            <w:r>
              <w:rPr>
                <w:noProof/>
                <w:webHidden/>
              </w:rPr>
              <w:fldChar w:fldCharType="end"/>
            </w:r>
          </w:hyperlink>
        </w:p>
        <w:p w14:paraId="56A85B6D" w14:textId="433B4F31"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46" w:history="1">
            <w:r w:rsidRPr="00DF6408">
              <w:rPr>
                <w:rStyle w:val="Lienhypertexte"/>
                <w:noProof/>
              </w:rPr>
              <w:t>2.</w:t>
            </w:r>
            <w:r>
              <w:rPr>
                <w:rFonts w:asciiTheme="minorHAnsi" w:eastAsiaTheme="minorEastAsia" w:hAnsiTheme="minorHAnsi"/>
                <w:noProof/>
                <w:kern w:val="2"/>
                <w:sz w:val="24"/>
                <w:szCs w:val="24"/>
                <w:lang w:val="en-US"/>
                <w14:ligatures w14:val="standardContextual"/>
              </w:rPr>
              <w:tab/>
            </w:r>
            <w:r w:rsidRPr="00DF6408">
              <w:rPr>
                <w:rStyle w:val="Lienhypertexte"/>
                <w:noProof/>
              </w:rPr>
              <w:t>Le régime à cotisations définies : le PER obligatoire en remplacement de « l’article 83 »</w:t>
            </w:r>
            <w:r>
              <w:rPr>
                <w:noProof/>
                <w:webHidden/>
              </w:rPr>
              <w:tab/>
            </w:r>
            <w:r>
              <w:rPr>
                <w:noProof/>
                <w:webHidden/>
              </w:rPr>
              <w:fldChar w:fldCharType="begin"/>
            </w:r>
            <w:r>
              <w:rPr>
                <w:noProof/>
                <w:webHidden/>
              </w:rPr>
              <w:instrText xml:space="preserve"> PAGEREF _Toc186712246 \h </w:instrText>
            </w:r>
            <w:r>
              <w:rPr>
                <w:noProof/>
                <w:webHidden/>
              </w:rPr>
            </w:r>
            <w:r>
              <w:rPr>
                <w:noProof/>
                <w:webHidden/>
              </w:rPr>
              <w:fldChar w:fldCharType="separate"/>
            </w:r>
            <w:r>
              <w:rPr>
                <w:noProof/>
                <w:webHidden/>
              </w:rPr>
              <w:t>2</w:t>
            </w:r>
            <w:r>
              <w:rPr>
                <w:noProof/>
                <w:webHidden/>
              </w:rPr>
              <w:fldChar w:fldCharType="end"/>
            </w:r>
          </w:hyperlink>
        </w:p>
        <w:p w14:paraId="13C84B7A" w14:textId="442E4186"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47" w:history="1">
            <w:r w:rsidRPr="00DF6408">
              <w:rPr>
                <w:rStyle w:val="Lienhypertexte"/>
                <w:noProof/>
              </w:rPr>
              <w:t>3.</w:t>
            </w:r>
            <w:r>
              <w:rPr>
                <w:rFonts w:asciiTheme="minorHAnsi" w:eastAsiaTheme="minorEastAsia" w:hAnsiTheme="minorHAnsi"/>
                <w:noProof/>
                <w:kern w:val="2"/>
                <w:sz w:val="24"/>
                <w:szCs w:val="24"/>
                <w:lang w:val="en-US"/>
                <w14:ligatures w14:val="standardContextual"/>
              </w:rPr>
              <w:tab/>
            </w:r>
            <w:r w:rsidRPr="00DF6408">
              <w:rPr>
                <w:rStyle w:val="Lienhypertexte"/>
                <w:noProof/>
              </w:rPr>
              <w:t>Le plan d’épargne retraite d’entreprise collectif (PERco)</w:t>
            </w:r>
            <w:r>
              <w:rPr>
                <w:noProof/>
                <w:webHidden/>
              </w:rPr>
              <w:tab/>
            </w:r>
            <w:r>
              <w:rPr>
                <w:noProof/>
                <w:webHidden/>
              </w:rPr>
              <w:fldChar w:fldCharType="begin"/>
            </w:r>
            <w:r>
              <w:rPr>
                <w:noProof/>
                <w:webHidden/>
              </w:rPr>
              <w:instrText xml:space="preserve"> PAGEREF _Toc186712247 \h </w:instrText>
            </w:r>
            <w:r>
              <w:rPr>
                <w:noProof/>
                <w:webHidden/>
              </w:rPr>
            </w:r>
            <w:r>
              <w:rPr>
                <w:noProof/>
                <w:webHidden/>
              </w:rPr>
              <w:fldChar w:fldCharType="separate"/>
            </w:r>
            <w:r>
              <w:rPr>
                <w:noProof/>
                <w:webHidden/>
              </w:rPr>
              <w:t>8</w:t>
            </w:r>
            <w:r>
              <w:rPr>
                <w:noProof/>
                <w:webHidden/>
              </w:rPr>
              <w:fldChar w:fldCharType="end"/>
            </w:r>
          </w:hyperlink>
        </w:p>
        <w:p w14:paraId="060449DC" w14:textId="68BB9182"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48" w:history="1">
            <w:r w:rsidRPr="00DF6408">
              <w:rPr>
                <w:rStyle w:val="Lienhypertexte"/>
                <w:noProof/>
              </w:rPr>
              <w:t>4.</w:t>
            </w:r>
            <w:r>
              <w:rPr>
                <w:rFonts w:asciiTheme="minorHAnsi" w:eastAsiaTheme="minorEastAsia" w:hAnsiTheme="minorHAnsi"/>
                <w:noProof/>
                <w:kern w:val="2"/>
                <w:sz w:val="24"/>
                <w:szCs w:val="24"/>
                <w:lang w:val="en-US"/>
                <w14:ligatures w14:val="standardContextual"/>
              </w:rPr>
              <w:tab/>
            </w:r>
            <w:r w:rsidRPr="00DF6408">
              <w:rPr>
                <w:rStyle w:val="Lienhypertexte"/>
                <w:noProof/>
              </w:rPr>
              <w:t>Le régime supplémentaire à prestations définies : « l’article 39 »</w:t>
            </w:r>
            <w:r>
              <w:rPr>
                <w:noProof/>
                <w:webHidden/>
              </w:rPr>
              <w:tab/>
            </w:r>
            <w:r>
              <w:rPr>
                <w:noProof/>
                <w:webHidden/>
              </w:rPr>
              <w:fldChar w:fldCharType="begin"/>
            </w:r>
            <w:r>
              <w:rPr>
                <w:noProof/>
                <w:webHidden/>
              </w:rPr>
              <w:instrText xml:space="preserve"> PAGEREF _Toc186712248 \h </w:instrText>
            </w:r>
            <w:r>
              <w:rPr>
                <w:noProof/>
                <w:webHidden/>
              </w:rPr>
            </w:r>
            <w:r>
              <w:rPr>
                <w:noProof/>
                <w:webHidden/>
              </w:rPr>
              <w:fldChar w:fldCharType="separate"/>
            </w:r>
            <w:r>
              <w:rPr>
                <w:noProof/>
                <w:webHidden/>
              </w:rPr>
              <w:t>1</w:t>
            </w:r>
            <w:r>
              <w:rPr>
                <w:noProof/>
                <w:webHidden/>
              </w:rPr>
              <w:fldChar w:fldCharType="end"/>
            </w:r>
          </w:hyperlink>
        </w:p>
        <w:p w14:paraId="6D923BC9" w14:textId="18AD5D59" w:rsidR="00A84649" w:rsidRDefault="00A84649">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6712249" w:history="1">
            <w:r w:rsidRPr="00DF6408">
              <w:rPr>
                <w:rStyle w:val="Lienhypertexte"/>
                <w:noProof/>
              </w:rPr>
              <w:t>IV.</w:t>
            </w:r>
            <w:r>
              <w:rPr>
                <w:rFonts w:asciiTheme="minorHAnsi" w:eastAsiaTheme="minorEastAsia" w:hAnsiTheme="minorHAnsi"/>
                <w:noProof/>
                <w:kern w:val="2"/>
                <w:sz w:val="24"/>
                <w:szCs w:val="24"/>
                <w:lang w:val="en-US"/>
                <w14:ligatures w14:val="standardContextual"/>
              </w:rPr>
              <w:tab/>
            </w:r>
            <w:r w:rsidRPr="00DF6408">
              <w:rPr>
                <w:rStyle w:val="Lienhypertexte"/>
                <w:noProof/>
              </w:rPr>
              <w:t>Les dispositifs individuels d’épargne</w:t>
            </w:r>
            <w:r>
              <w:rPr>
                <w:noProof/>
                <w:webHidden/>
              </w:rPr>
              <w:tab/>
            </w:r>
            <w:r>
              <w:rPr>
                <w:noProof/>
                <w:webHidden/>
              </w:rPr>
              <w:fldChar w:fldCharType="begin"/>
            </w:r>
            <w:r>
              <w:rPr>
                <w:noProof/>
                <w:webHidden/>
              </w:rPr>
              <w:instrText xml:space="preserve"> PAGEREF _Toc186712249 \h </w:instrText>
            </w:r>
            <w:r>
              <w:rPr>
                <w:noProof/>
                <w:webHidden/>
              </w:rPr>
            </w:r>
            <w:r>
              <w:rPr>
                <w:noProof/>
                <w:webHidden/>
              </w:rPr>
              <w:fldChar w:fldCharType="separate"/>
            </w:r>
            <w:r>
              <w:rPr>
                <w:noProof/>
                <w:webHidden/>
              </w:rPr>
              <w:t>2</w:t>
            </w:r>
            <w:r>
              <w:rPr>
                <w:noProof/>
                <w:webHidden/>
              </w:rPr>
              <w:fldChar w:fldCharType="end"/>
            </w:r>
          </w:hyperlink>
        </w:p>
        <w:p w14:paraId="1E0C7712" w14:textId="1018736F"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50" w:history="1">
            <w:r w:rsidRPr="00DF6408">
              <w:rPr>
                <w:rStyle w:val="Lienhypertexte"/>
                <w:noProof/>
              </w:rPr>
              <w:t>1.</w:t>
            </w:r>
            <w:r>
              <w:rPr>
                <w:rFonts w:asciiTheme="minorHAnsi" w:eastAsiaTheme="minorEastAsia" w:hAnsiTheme="minorHAnsi"/>
                <w:noProof/>
                <w:kern w:val="2"/>
                <w:sz w:val="24"/>
                <w:szCs w:val="24"/>
                <w:lang w:val="en-US"/>
                <w14:ligatures w14:val="standardContextual"/>
              </w:rPr>
              <w:tab/>
            </w:r>
            <w:r w:rsidRPr="00DF6408">
              <w:rPr>
                <w:rStyle w:val="Lienhypertexte"/>
                <w:noProof/>
              </w:rPr>
              <w:t>Le PERin</w:t>
            </w:r>
            <w:r>
              <w:rPr>
                <w:noProof/>
                <w:webHidden/>
              </w:rPr>
              <w:tab/>
            </w:r>
            <w:r>
              <w:rPr>
                <w:noProof/>
                <w:webHidden/>
              </w:rPr>
              <w:fldChar w:fldCharType="begin"/>
            </w:r>
            <w:r>
              <w:rPr>
                <w:noProof/>
                <w:webHidden/>
              </w:rPr>
              <w:instrText xml:space="preserve"> PAGEREF _Toc186712250 \h </w:instrText>
            </w:r>
            <w:r>
              <w:rPr>
                <w:noProof/>
                <w:webHidden/>
              </w:rPr>
            </w:r>
            <w:r>
              <w:rPr>
                <w:noProof/>
                <w:webHidden/>
              </w:rPr>
              <w:fldChar w:fldCharType="separate"/>
            </w:r>
            <w:r>
              <w:rPr>
                <w:noProof/>
                <w:webHidden/>
              </w:rPr>
              <w:t>3</w:t>
            </w:r>
            <w:r>
              <w:rPr>
                <w:noProof/>
                <w:webHidden/>
              </w:rPr>
              <w:fldChar w:fldCharType="end"/>
            </w:r>
          </w:hyperlink>
        </w:p>
        <w:p w14:paraId="5F40BA7D" w14:textId="07D7D8E0"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51" w:history="1">
            <w:r w:rsidRPr="00DF6408">
              <w:rPr>
                <w:rStyle w:val="Lienhypertexte"/>
                <w:noProof/>
              </w:rPr>
              <w:t>2.</w:t>
            </w:r>
            <w:r>
              <w:rPr>
                <w:rFonts w:asciiTheme="minorHAnsi" w:eastAsiaTheme="minorEastAsia" w:hAnsiTheme="minorHAnsi"/>
                <w:noProof/>
                <w:kern w:val="2"/>
                <w:sz w:val="24"/>
                <w:szCs w:val="24"/>
                <w:lang w:val="en-US"/>
                <w14:ligatures w14:val="standardContextual"/>
              </w:rPr>
              <w:tab/>
            </w:r>
            <w:r w:rsidRPr="00DF6408">
              <w:rPr>
                <w:rStyle w:val="Lienhypertexte"/>
                <w:noProof/>
              </w:rPr>
              <w:t>Les contrats « Madelin »</w:t>
            </w:r>
            <w:r>
              <w:rPr>
                <w:noProof/>
                <w:webHidden/>
              </w:rPr>
              <w:tab/>
            </w:r>
            <w:r>
              <w:rPr>
                <w:noProof/>
                <w:webHidden/>
              </w:rPr>
              <w:fldChar w:fldCharType="begin"/>
            </w:r>
            <w:r>
              <w:rPr>
                <w:noProof/>
                <w:webHidden/>
              </w:rPr>
              <w:instrText xml:space="preserve"> PAGEREF _Toc186712251 \h </w:instrText>
            </w:r>
            <w:r>
              <w:rPr>
                <w:noProof/>
                <w:webHidden/>
              </w:rPr>
            </w:r>
            <w:r>
              <w:rPr>
                <w:noProof/>
                <w:webHidden/>
              </w:rPr>
              <w:fldChar w:fldCharType="separate"/>
            </w:r>
            <w:r>
              <w:rPr>
                <w:noProof/>
                <w:webHidden/>
              </w:rPr>
              <w:t>4</w:t>
            </w:r>
            <w:r>
              <w:rPr>
                <w:noProof/>
                <w:webHidden/>
              </w:rPr>
              <w:fldChar w:fldCharType="end"/>
            </w:r>
          </w:hyperlink>
        </w:p>
        <w:p w14:paraId="513F3C27" w14:textId="0D23C73C"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52" w:history="1">
            <w:r w:rsidRPr="00DF6408">
              <w:rPr>
                <w:rStyle w:val="Lienhypertexte"/>
                <w:noProof/>
              </w:rPr>
              <w:t>3.</w:t>
            </w:r>
            <w:r>
              <w:rPr>
                <w:rFonts w:asciiTheme="minorHAnsi" w:eastAsiaTheme="minorEastAsia" w:hAnsiTheme="minorHAnsi"/>
                <w:noProof/>
                <w:kern w:val="2"/>
                <w:sz w:val="24"/>
                <w:szCs w:val="24"/>
                <w:lang w:val="en-US"/>
                <w14:ligatures w14:val="standardContextual"/>
              </w:rPr>
              <w:tab/>
            </w:r>
            <w:r w:rsidRPr="00DF6408">
              <w:rPr>
                <w:rStyle w:val="Lienhypertexte"/>
                <w:noProof/>
              </w:rPr>
              <w:t>Les contrats en « sursalaire » (« article 82 »)</w:t>
            </w:r>
            <w:r>
              <w:rPr>
                <w:noProof/>
                <w:webHidden/>
              </w:rPr>
              <w:tab/>
            </w:r>
            <w:r>
              <w:rPr>
                <w:noProof/>
                <w:webHidden/>
              </w:rPr>
              <w:fldChar w:fldCharType="begin"/>
            </w:r>
            <w:r>
              <w:rPr>
                <w:noProof/>
                <w:webHidden/>
              </w:rPr>
              <w:instrText xml:space="preserve"> PAGEREF _Toc186712252 \h </w:instrText>
            </w:r>
            <w:r>
              <w:rPr>
                <w:noProof/>
                <w:webHidden/>
              </w:rPr>
            </w:r>
            <w:r>
              <w:rPr>
                <w:noProof/>
                <w:webHidden/>
              </w:rPr>
              <w:fldChar w:fldCharType="separate"/>
            </w:r>
            <w:r>
              <w:rPr>
                <w:noProof/>
                <w:webHidden/>
              </w:rPr>
              <w:t>6</w:t>
            </w:r>
            <w:r>
              <w:rPr>
                <w:noProof/>
                <w:webHidden/>
              </w:rPr>
              <w:fldChar w:fldCharType="end"/>
            </w:r>
          </w:hyperlink>
        </w:p>
        <w:p w14:paraId="01F38FD8" w14:textId="0B1A1E29" w:rsidR="00A84649" w:rsidRDefault="00A84649">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6712253" w:history="1">
            <w:r w:rsidRPr="00DF6408">
              <w:rPr>
                <w:rStyle w:val="Lienhypertexte"/>
                <w:noProof/>
              </w:rPr>
              <w:t>V.</w:t>
            </w:r>
            <w:r>
              <w:rPr>
                <w:rFonts w:asciiTheme="minorHAnsi" w:eastAsiaTheme="minorEastAsia" w:hAnsiTheme="minorHAnsi"/>
                <w:noProof/>
                <w:kern w:val="2"/>
                <w:sz w:val="24"/>
                <w:szCs w:val="24"/>
                <w:lang w:val="en-US"/>
                <w14:ligatures w14:val="standardContextual"/>
              </w:rPr>
              <w:tab/>
            </w:r>
            <w:r w:rsidRPr="00DF6408">
              <w:rPr>
                <w:rStyle w:val="Lienhypertexte"/>
                <w:noProof/>
              </w:rPr>
              <w:t>Les stock-options et les attributions gratuites d’actions</w:t>
            </w:r>
            <w:r>
              <w:rPr>
                <w:noProof/>
                <w:webHidden/>
              </w:rPr>
              <w:tab/>
            </w:r>
            <w:r>
              <w:rPr>
                <w:noProof/>
                <w:webHidden/>
              </w:rPr>
              <w:fldChar w:fldCharType="begin"/>
            </w:r>
            <w:r>
              <w:rPr>
                <w:noProof/>
                <w:webHidden/>
              </w:rPr>
              <w:instrText xml:space="preserve"> PAGEREF _Toc186712253 \h </w:instrText>
            </w:r>
            <w:r>
              <w:rPr>
                <w:noProof/>
                <w:webHidden/>
              </w:rPr>
            </w:r>
            <w:r>
              <w:rPr>
                <w:noProof/>
                <w:webHidden/>
              </w:rPr>
              <w:fldChar w:fldCharType="separate"/>
            </w:r>
            <w:r>
              <w:rPr>
                <w:noProof/>
                <w:webHidden/>
              </w:rPr>
              <w:t>7</w:t>
            </w:r>
            <w:r>
              <w:rPr>
                <w:noProof/>
                <w:webHidden/>
              </w:rPr>
              <w:fldChar w:fldCharType="end"/>
            </w:r>
          </w:hyperlink>
        </w:p>
        <w:p w14:paraId="77E2059E" w14:textId="530EAD11"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54" w:history="1">
            <w:r w:rsidRPr="00DF6408">
              <w:rPr>
                <w:rStyle w:val="Lienhypertexte"/>
                <w:noProof/>
              </w:rPr>
              <w:t>1.</w:t>
            </w:r>
            <w:r>
              <w:rPr>
                <w:rFonts w:asciiTheme="minorHAnsi" w:eastAsiaTheme="minorEastAsia" w:hAnsiTheme="minorHAnsi"/>
                <w:noProof/>
                <w:kern w:val="2"/>
                <w:sz w:val="24"/>
                <w:szCs w:val="24"/>
                <w:lang w:val="en-US"/>
                <w14:ligatures w14:val="standardContextual"/>
              </w:rPr>
              <w:tab/>
            </w:r>
            <w:r w:rsidRPr="00DF6408">
              <w:rPr>
                <w:rStyle w:val="Lienhypertexte"/>
                <w:noProof/>
              </w:rPr>
              <w:t>Les options sur titres (ou stock-options)</w:t>
            </w:r>
            <w:r>
              <w:rPr>
                <w:noProof/>
                <w:webHidden/>
              </w:rPr>
              <w:tab/>
            </w:r>
            <w:r>
              <w:rPr>
                <w:noProof/>
                <w:webHidden/>
              </w:rPr>
              <w:fldChar w:fldCharType="begin"/>
            </w:r>
            <w:r>
              <w:rPr>
                <w:noProof/>
                <w:webHidden/>
              </w:rPr>
              <w:instrText xml:space="preserve"> PAGEREF _Toc186712254 \h </w:instrText>
            </w:r>
            <w:r>
              <w:rPr>
                <w:noProof/>
                <w:webHidden/>
              </w:rPr>
            </w:r>
            <w:r>
              <w:rPr>
                <w:noProof/>
                <w:webHidden/>
              </w:rPr>
              <w:fldChar w:fldCharType="separate"/>
            </w:r>
            <w:r>
              <w:rPr>
                <w:noProof/>
                <w:webHidden/>
              </w:rPr>
              <w:t>9</w:t>
            </w:r>
            <w:r>
              <w:rPr>
                <w:noProof/>
                <w:webHidden/>
              </w:rPr>
              <w:fldChar w:fldCharType="end"/>
            </w:r>
          </w:hyperlink>
        </w:p>
        <w:p w14:paraId="34FE686D" w14:textId="5DAEE501"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55" w:history="1">
            <w:r w:rsidRPr="00DF6408">
              <w:rPr>
                <w:rStyle w:val="Lienhypertexte"/>
                <w:noProof/>
              </w:rPr>
              <w:t>2.</w:t>
            </w:r>
            <w:r>
              <w:rPr>
                <w:rFonts w:asciiTheme="minorHAnsi" w:eastAsiaTheme="minorEastAsia" w:hAnsiTheme="minorHAnsi"/>
                <w:noProof/>
                <w:kern w:val="2"/>
                <w:sz w:val="24"/>
                <w:szCs w:val="24"/>
                <w:lang w:val="en-US"/>
                <w14:ligatures w14:val="standardContextual"/>
              </w:rPr>
              <w:tab/>
            </w:r>
            <w:r w:rsidRPr="00DF6408">
              <w:rPr>
                <w:rStyle w:val="Lienhypertexte"/>
                <w:noProof/>
              </w:rPr>
              <w:t>Des obligations spécifiques pour les sociétés cotées</w:t>
            </w:r>
            <w:r>
              <w:rPr>
                <w:noProof/>
                <w:webHidden/>
              </w:rPr>
              <w:tab/>
            </w:r>
            <w:r>
              <w:rPr>
                <w:noProof/>
                <w:webHidden/>
              </w:rPr>
              <w:fldChar w:fldCharType="begin"/>
            </w:r>
            <w:r>
              <w:rPr>
                <w:noProof/>
                <w:webHidden/>
              </w:rPr>
              <w:instrText xml:space="preserve"> PAGEREF _Toc186712255 \h </w:instrText>
            </w:r>
            <w:r>
              <w:rPr>
                <w:noProof/>
                <w:webHidden/>
              </w:rPr>
            </w:r>
            <w:r>
              <w:rPr>
                <w:noProof/>
                <w:webHidden/>
              </w:rPr>
              <w:fldChar w:fldCharType="separate"/>
            </w:r>
            <w:r>
              <w:rPr>
                <w:noProof/>
                <w:webHidden/>
              </w:rPr>
              <w:t>9</w:t>
            </w:r>
            <w:r>
              <w:rPr>
                <w:noProof/>
                <w:webHidden/>
              </w:rPr>
              <w:fldChar w:fldCharType="end"/>
            </w:r>
          </w:hyperlink>
        </w:p>
        <w:p w14:paraId="1EF8E8E7" w14:textId="2E010F1C"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56" w:history="1">
            <w:r w:rsidRPr="00DF6408">
              <w:rPr>
                <w:rStyle w:val="Lienhypertexte"/>
                <w:noProof/>
              </w:rPr>
              <w:t>3.</w:t>
            </w:r>
            <w:r>
              <w:rPr>
                <w:rFonts w:asciiTheme="minorHAnsi" w:eastAsiaTheme="minorEastAsia" w:hAnsiTheme="minorHAnsi"/>
                <w:noProof/>
                <w:kern w:val="2"/>
                <w:sz w:val="24"/>
                <w:szCs w:val="24"/>
                <w:lang w:val="en-US"/>
                <w14:ligatures w14:val="standardContextual"/>
              </w:rPr>
              <w:tab/>
            </w:r>
            <w:r w:rsidRPr="00DF6408">
              <w:rPr>
                <w:rStyle w:val="Lienhypertexte"/>
                <w:noProof/>
              </w:rPr>
              <w:t>Procédure d’émission, d’attribution et d’exercice des options</w:t>
            </w:r>
            <w:r>
              <w:rPr>
                <w:noProof/>
                <w:webHidden/>
              </w:rPr>
              <w:tab/>
            </w:r>
            <w:r>
              <w:rPr>
                <w:noProof/>
                <w:webHidden/>
              </w:rPr>
              <w:fldChar w:fldCharType="begin"/>
            </w:r>
            <w:r>
              <w:rPr>
                <w:noProof/>
                <w:webHidden/>
              </w:rPr>
              <w:instrText xml:space="preserve"> PAGEREF _Toc186712256 \h </w:instrText>
            </w:r>
            <w:r>
              <w:rPr>
                <w:noProof/>
                <w:webHidden/>
              </w:rPr>
            </w:r>
            <w:r>
              <w:rPr>
                <w:noProof/>
                <w:webHidden/>
              </w:rPr>
              <w:fldChar w:fldCharType="separate"/>
            </w:r>
            <w:r>
              <w:rPr>
                <w:noProof/>
                <w:webHidden/>
              </w:rPr>
              <w:t>10</w:t>
            </w:r>
            <w:r>
              <w:rPr>
                <w:noProof/>
                <w:webHidden/>
              </w:rPr>
              <w:fldChar w:fldCharType="end"/>
            </w:r>
          </w:hyperlink>
        </w:p>
        <w:p w14:paraId="4E0BAE73" w14:textId="739AAE21"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57" w:history="1">
            <w:r w:rsidRPr="00DF6408">
              <w:rPr>
                <w:rStyle w:val="Lienhypertexte"/>
                <w:noProof/>
              </w:rPr>
              <w:t>4.</w:t>
            </w:r>
            <w:r>
              <w:rPr>
                <w:rFonts w:asciiTheme="minorHAnsi" w:eastAsiaTheme="minorEastAsia" w:hAnsiTheme="minorHAnsi"/>
                <w:noProof/>
                <w:kern w:val="2"/>
                <w:sz w:val="24"/>
                <w:szCs w:val="24"/>
                <w:lang w:val="en-US"/>
                <w14:ligatures w14:val="standardContextual"/>
              </w:rPr>
              <w:tab/>
            </w:r>
            <w:r w:rsidRPr="00DF6408">
              <w:rPr>
                <w:rStyle w:val="Lienhypertexte"/>
                <w:noProof/>
              </w:rPr>
              <w:t>Un régime fiscal à 3 niveaux</w:t>
            </w:r>
            <w:r>
              <w:rPr>
                <w:noProof/>
                <w:webHidden/>
              </w:rPr>
              <w:tab/>
            </w:r>
            <w:r>
              <w:rPr>
                <w:noProof/>
                <w:webHidden/>
              </w:rPr>
              <w:fldChar w:fldCharType="begin"/>
            </w:r>
            <w:r>
              <w:rPr>
                <w:noProof/>
                <w:webHidden/>
              </w:rPr>
              <w:instrText xml:space="preserve"> PAGEREF _Toc186712257 \h </w:instrText>
            </w:r>
            <w:r>
              <w:rPr>
                <w:noProof/>
                <w:webHidden/>
              </w:rPr>
            </w:r>
            <w:r>
              <w:rPr>
                <w:noProof/>
                <w:webHidden/>
              </w:rPr>
              <w:fldChar w:fldCharType="separate"/>
            </w:r>
            <w:r>
              <w:rPr>
                <w:noProof/>
                <w:webHidden/>
              </w:rPr>
              <w:t>11</w:t>
            </w:r>
            <w:r>
              <w:rPr>
                <w:noProof/>
                <w:webHidden/>
              </w:rPr>
              <w:fldChar w:fldCharType="end"/>
            </w:r>
          </w:hyperlink>
        </w:p>
        <w:p w14:paraId="31304506" w14:textId="242DA791" w:rsidR="00A84649" w:rsidRDefault="00A84649">
          <w:pPr>
            <w:pStyle w:val="TM3"/>
            <w:rPr>
              <w:rFonts w:asciiTheme="minorHAnsi" w:eastAsiaTheme="minorEastAsia" w:hAnsiTheme="minorHAnsi"/>
              <w:noProof/>
              <w:kern w:val="2"/>
              <w:sz w:val="24"/>
              <w:szCs w:val="24"/>
              <w:lang w:val="en-US"/>
              <w14:ligatures w14:val="standardContextual"/>
            </w:rPr>
          </w:pPr>
          <w:hyperlink w:anchor="_Toc186712258" w:history="1">
            <w:r w:rsidRPr="00DF6408">
              <w:rPr>
                <w:rStyle w:val="Lienhypertexte"/>
                <w:noProof/>
              </w:rPr>
              <w:t>5.</w:t>
            </w:r>
            <w:r>
              <w:rPr>
                <w:rFonts w:asciiTheme="minorHAnsi" w:eastAsiaTheme="minorEastAsia" w:hAnsiTheme="minorHAnsi"/>
                <w:noProof/>
                <w:kern w:val="2"/>
                <w:sz w:val="24"/>
                <w:szCs w:val="24"/>
                <w:lang w:val="en-US"/>
                <w14:ligatures w14:val="standardContextual"/>
              </w:rPr>
              <w:tab/>
            </w:r>
            <w:r w:rsidRPr="00DF6408">
              <w:rPr>
                <w:rStyle w:val="Lienhypertexte"/>
                <w:noProof/>
              </w:rPr>
              <w:t>Les attributions gratuites d’actions (AGA)</w:t>
            </w:r>
            <w:r>
              <w:rPr>
                <w:noProof/>
                <w:webHidden/>
              </w:rPr>
              <w:tab/>
            </w:r>
            <w:r>
              <w:rPr>
                <w:noProof/>
                <w:webHidden/>
              </w:rPr>
              <w:fldChar w:fldCharType="begin"/>
            </w:r>
            <w:r>
              <w:rPr>
                <w:noProof/>
                <w:webHidden/>
              </w:rPr>
              <w:instrText xml:space="preserve"> PAGEREF _Toc186712258 \h </w:instrText>
            </w:r>
            <w:r>
              <w:rPr>
                <w:noProof/>
                <w:webHidden/>
              </w:rPr>
            </w:r>
            <w:r>
              <w:rPr>
                <w:noProof/>
                <w:webHidden/>
              </w:rPr>
              <w:fldChar w:fldCharType="separate"/>
            </w:r>
            <w:r>
              <w:rPr>
                <w:noProof/>
                <w:webHidden/>
              </w:rPr>
              <w:t>13</w:t>
            </w:r>
            <w:r>
              <w:rPr>
                <w:noProof/>
                <w:webHidden/>
              </w:rPr>
              <w:fldChar w:fldCharType="end"/>
            </w:r>
          </w:hyperlink>
        </w:p>
        <w:p w14:paraId="76D52D41" w14:textId="23D4C974" w:rsidR="00B8067C" w:rsidRDefault="00E541EC">
          <w:r>
            <w:fldChar w:fldCharType="end"/>
          </w:r>
        </w:p>
      </w:sdtContent>
    </w:sdt>
    <w:p w14:paraId="195FC356" w14:textId="15EB170F" w:rsidR="00B8067C" w:rsidRDefault="00B8067C"/>
    <w:p w14:paraId="332BC3D1" w14:textId="2433EA26" w:rsidR="00BF6145" w:rsidRDefault="00B42117" w:rsidP="00BF6145">
      <w:r>
        <w:rPr>
          <w:rFonts w:eastAsia="Times New Roman"/>
          <w:color w:val="2F5496" w:themeColor="accent1" w:themeShade="BF"/>
          <w:lang w:eastAsia="fr-FR"/>
        </w:rPr>
        <w:br w:type="page"/>
      </w:r>
      <w:r w:rsidR="00BF6145">
        <w:rPr>
          <w:noProof/>
          <w14:ligatures w14:val="standardContextual"/>
        </w:rPr>
        <w:lastRenderedPageBreak/>
        <mc:AlternateContent>
          <mc:Choice Requires="wps">
            <w:drawing>
              <wp:anchor distT="0" distB="0" distL="114300" distR="114300" simplePos="0" relativeHeight="251663360" behindDoc="1" locked="0" layoutInCell="1" allowOverlap="1" wp14:anchorId="76AA73CB" wp14:editId="0FFC87A8">
                <wp:simplePos x="0" y="0"/>
                <wp:positionH relativeFrom="column">
                  <wp:posOffset>-1200150</wp:posOffset>
                </wp:positionH>
                <wp:positionV relativeFrom="paragraph">
                  <wp:posOffset>-895350</wp:posOffset>
                </wp:positionV>
                <wp:extent cx="15544800" cy="10668000"/>
                <wp:effectExtent l="0" t="0" r="19050" b="19050"/>
                <wp:wrapNone/>
                <wp:docPr id="1151096668" name="Rectangle 5"/>
                <wp:cNvGraphicFramePr/>
                <a:graphic xmlns:a="http://schemas.openxmlformats.org/drawingml/2006/main">
                  <a:graphicData uri="http://schemas.microsoft.com/office/word/2010/wordprocessingShape">
                    <wps:wsp>
                      <wps:cNvSpPr/>
                      <wps:spPr>
                        <a:xfrm>
                          <a:off x="0" y="0"/>
                          <a:ext cx="15544800" cy="106680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13F93BC" id="Rectangle 5" o:spid="_x0000_s1026" style="position:absolute;margin-left:-94.5pt;margin-top:-70.5pt;width:17in;height:840pt;z-index:-251653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" fillcolor="#4472c4 [3204]" strokecolor="#09101d [484]" strokeweight="1pt"/>
            </w:pict>
          </mc:Fallback>
        </mc:AlternateContent>
      </w:r>
      <w:r w:rsidR="00197C2B" w:rsidRPr="00BF6145">
        <w:t xml:space="preserve"> </w:t>
      </w:r>
    </w:p>
    <w:p w14:paraId="0080BB2D" w14:textId="77777777" w:rsidR="00BF6145" w:rsidRDefault="00BF6145" w:rsidP="00BF6145"/>
    <w:p w14:paraId="4566EFE1" w14:textId="77777777" w:rsidR="00BF6145" w:rsidRDefault="00BF6145" w:rsidP="00BF6145"/>
    <w:p w14:paraId="34B55276" w14:textId="77777777" w:rsidR="00BF6145" w:rsidRDefault="00BF6145" w:rsidP="00BF6145"/>
    <w:p w14:paraId="6903B632" w14:textId="77777777" w:rsidR="00BF6145" w:rsidRDefault="00BF6145" w:rsidP="00BF6145"/>
    <w:p w14:paraId="73136729" w14:textId="77777777" w:rsidR="00BF6145" w:rsidRDefault="00BF6145" w:rsidP="00BF6145"/>
    <w:p w14:paraId="4CB058F0" w14:textId="77777777" w:rsidR="00BF6145" w:rsidRDefault="00BF6145" w:rsidP="00BF6145"/>
    <w:p w14:paraId="4AACFE2C" w14:textId="77777777" w:rsidR="00BF6145" w:rsidRDefault="00BF6145" w:rsidP="00BF6145"/>
    <w:p w14:paraId="2E33D8A5" w14:textId="77777777" w:rsidR="00BF6145" w:rsidRDefault="00BF6145" w:rsidP="00BF6145"/>
    <w:p w14:paraId="29ABF179" w14:textId="699FB01B" w:rsidR="007C3853" w:rsidRPr="00BF6145" w:rsidRDefault="00197C2B" w:rsidP="00BF6145">
      <w:pPr>
        <w:pStyle w:val="Titre2"/>
      </w:pPr>
      <w:bookmarkStart w:id="0" w:name="_Toc186712237"/>
      <w:r w:rsidRPr="00BF6145">
        <w:t>Formes sociétaires et régime fiscal des rémunérations directes du dirigeant</w:t>
      </w:r>
      <w:bookmarkEnd w:id="0"/>
    </w:p>
    <w:p w14:paraId="4F85706D" w14:textId="77777777" w:rsidR="007C3853" w:rsidRDefault="007C3853" w:rsidP="00FC0002">
      <w:pPr>
        <w:pStyle w:val="CGPC-elearning"/>
        <w:rPr>
          <w:rFonts w:eastAsiaTheme="majorEastAsia"/>
          <w:color w:val="3A5D9C"/>
          <w:sz w:val="44"/>
          <w:szCs w:val="26"/>
          <w:bdr w:val="none" w:sz="0" w:space="0" w:color="auto" w:frame="1"/>
        </w:rPr>
      </w:pPr>
      <w:r>
        <w:br w:type="page"/>
      </w:r>
    </w:p>
    <w:p w14:paraId="6D24F3FD" w14:textId="77777777" w:rsidR="00197C2B" w:rsidRPr="007C3853" w:rsidRDefault="00197C2B" w:rsidP="007C3853"/>
    <w:p w14:paraId="36F90CB1" w14:textId="77777777" w:rsidR="00197C2B" w:rsidRPr="00197C2B" w:rsidRDefault="00197C2B" w:rsidP="00197C2B"/>
    <w:p w14:paraId="445B6654" w14:textId="265C056C" w:rsidR="007C3853" w:rsidRDefault="00197C2B" w:rsidP="007C3853">
      <w:pPr>
        <w:pStyle w:val="NormalWeb"/>
        <w:spacing w:before="0" w:beforeAutospacing="0" w:after="0" w:afterAutospacing="0"/>
        <w:jc w:val="center"/>
        <w:textAlignment w:val="baseline"/>
        <w:rPr>
          <w:sz w:val="21"/>
          <w:szCs w:val="21"/>
        </w:rPr>
      </w:pPr>
      <w:r>
        <w:rPr>
          <w:noProof/>
          <w:sz w:val="21"/>
          <w:szCs w:val="21"/>
        </w:rPr>
        <w:drawing>
          <wp:inline distT="0" distB="0" distL="0" distR="0" wp14:anchorId="469E81EC" wp14:editId="6BADA57F">
            <wp:extent cx="11889968" cy="6700345"/>
            <wp:effectExtent l="533400" t="457200" r="797560" b="805815"/>
            <wp:docPr id="661742717"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902806" cy="6707579"/>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01718746" w14:textId="3DAC0D6E" w:rsidR="00197C2B" w:rsidRDefault="00197C2B" w:rsidP="00FC0002">
      <w:pPr>
        <w:pStyle w:val="Titre3"/>
        <w:rPr>
          <w:szCs w:val="36"/>
        </w:rPr>
      </w:pPr>
      <w:bookmarkStart w:id="1" w:name="_Toc186712238"/>
      <w:r>
        <w:lastRenderedPageBreak/>
        <w:t>La rémunération de l’exploitant individuel</w:t>
      </w:r>
      <w:bookmarkEnd w:id="1"/>
    </w:p>
    <w:p w14:paraId="7B5F4B56" w14:textId="0C8C13F9" w:rsidR="00197C2B" w:rsidRDefault="00197C2B" w:rsidP="00FC0002">
      <w:pPr>
        <w:pStyle w:val="CGPC-elearning"/>
        <w:rPr>
          <w:rFonts w:ascii="Times New Roman" w:hAnsi="Times New Roman" w:cs="Times New Roman"/>
        </w:rPr>
      </w:pPr>
      <w:r>
        <w:t>L’exploitant d’une entreprise individuelle est rémunéré par une part du bénéfice réalisé. Les prélèvements personnels qu’il effectue à cette fin sur le compte de son entreprise sont de simples mouvements financiers qui ne sont constitutifs ni d’un salaire ni d’une autre forme de rémunération. Ils ne sont en conséquence pas déductibles du bénéfice imposable de l’entreprise.</w:t>
      </w:r>
    </w:p>
    <w:p w14:paraId="11DA2A51" w14:textId="77777777" w:rsidR="00197C2B" w:rsidRDefault="00197C2B" w:rsidP="00FC0002">
      <w:pPr>
        <w:pStyle w:val="CGPC-elearning"/>
      </w:pPr>
      <w:r>
        <w:t>Le chef d’entreprise est imposé fiscalement sur le bénéfice professionnel qu’il réalise. Il n’existe pas de distinction entre le bénéfice de l’entreprise et sa rémunération. Le bénéfice de l’entreprise est imposé à l’impôt sur le revenu (IR) par l’intermédiaire de la déclaration personnelle de l’entrepreneur dans la catégorie des « bénéfices industriels et commerciaux » (BIC) si l’activité est industrielle, commerciale ou artisanale, des « bénéfices non commerciaux » (BNC) si l’activité est libérale et des « bénéfices agricoles » (BA) si l’activité est agricole.</w:t>
      </w:r>
    </w:p>
    <w:p w14:paraId="1A10474F" w14:textId="5B2E48B6" w:rsidR="00C434F9" w:rsidRDefault="00A253EC" w:rsidP="00FC0002">
      <w:pPr>
        <w:pStyle w:val="CGPC-elearning"/>
      </w:pPr>
      <w:r>
        <w:rPr>
          <w:noProof/>
        </w:rPr>
        <w:drawing>
          <wp:inline distT="0" distB="0" distL="0" distR="0" wp14:anchorId="19A85D2A" wp14:editId="3AA8F0F0">
            <wp:extent cx="8970580" cy="5669670"/>
            <wp:effectExtent l="0" t="0" r="2540" b="7620"/>
            <wp:docPr id="1751527094" name="Image 4" descr="Une image contenant texte, capture d’écran, Police, Bleu électriq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27094" name="Image 4" descr="Une image contenant texte, capture d’écran, Police, Bleu électrique"/>
                    <pic:cNvPicPr/>
                  </pic:nvPicPr>
                  <pic:blipFill>
                    <a:blip r:embed="rId12">
                      <a:extLst>
                        <a:ext uri="{28A0092B-C50C-407E-A947-70E740481C1C}">
                          <a14:useLocalDpi xmlns:a14="http://schemas.microsoft.com/office/drawing/2010/main" val="0"/>
                        </a:ext>
                      </a:extLst>
                    </a:blip>
                    <a:stretch>
                      <a:fillRect/>
                    </a:stretch>
                  </pic:blipFill>
                  <pic:spPr>
                    <a:xfrm>
                      <a:off x="0" y="0"/>
                      <a:ext cx="8972756" cy="5671045"/>
                    </a:xfrm>
                    <a:prstGeom prst="rect">
                      <a:avLst/>
                    </a:prstGeom>
                  </pic:spPr>
                </pic:pic>
              </a:graphicData>
            </a:graphic>
          </wp:inline>
        </w:drawing>
      </w:r>
    </w:p>
    <w:p w14:paraId="0C6E1A76" w14:textId="77777777" w:rsidR="007C3853" w:rsidRDefault="007C3853" w:rsidP="00FC0002">
      <w:pPr>
        <w:pStyle w:val="CGPC-elearning"/>
      </w:pPr>
    </w:p>
    <w:p w14:paraId="33024BBF" w14:textId="77777777" w:rsidR="00197C2B" w:rsidRDefault="00197C2B" w:rsidP="00197C2B">
      <w:pPr>
        <w:pStyle w:val="NormalWeb"/>
        <w:spacing w:before="0" w:beforeAutospacing="0" w:after="0" w:afterAutospacing="0"/>
        <w:jc w:val="both"/>
        <w:textAlignment w:val="baseline"/>
        <w:rPr>
          <w:sz w:val="21"/>
          <w:szCs w:val="21"/>
        </w:rPr>
      </w:pPr>
    </w:p>
    <w:p w14:paraId="038EF3F9" w14:textId="77777777" w:rsidR="00D647DA" w:rsidRDefault="00D647DA" w:rsidP="00197C2B">
      <w:pPr>
        <w:pStyle w:val="NormalWeb"/>
        <w:spacing w:before="0" w:beforeAutospacing="0" w:after="0" w:afterAutospacing="0"/>
        <w:jc w:val="both"/>
        <w:textAlignment w:val="baseline"/>
        <w:rPr>
          <w:sz w:val="21"/>
          <w:szCs w:val="21"/>
        </w:rPr>
      </w:pPr>
    </w:p>
    <w:p w14:paraId="79961F0B" w14:textId="76C5C4B1" w:rsidR="00197C2B" w:rsidRDefault="00197C2B" w:rsidP="00FC0002">
      <w:pPr>
        <w:pStyle w:val="Titre3"/>
        <w:rPr>
          <w:szCs w:val="36"/>
        </w:rPr>
      </w:pPr>
      <w:bookmarkStart w:id="2" w:name="_Toc186712239"/>
      <w:r>
        <w:t>La rémunération des dirigeants associés et des gérants salariés non associés</w:t>
      </w:r>
      <w:bookmarkEnd w:id="2"/>
    </w:p>
    <w:p w14:paraId="56466E01" w14:textId="77777777" w:rsidR="00197C2B" w:rsidRDefault="00197C2B" w:rsidP="00197C2B">
      <w:pPr>
        <w:pStyle w:val="NormalWeb"/>
        <w:spacing w:before="0" w:beforeAutospacing="0" w:after="0" w:afterAutospacing="0"/>
        <w:jc w:val="both"/>
        <w:textAlignment w:val="baseline"/>
        <w:rPr>
          <w:sz w:val="21"/>
          <w:szCs w:val="21"/>
        </w:rPr>
      </w:pPr>
    </w:p>
    <w:p w14:paraId="0F31DCFD" w14:textId="1C17C0A6" w:rsidR="00197C2B" w:rsidRDefault="00197C2B" w:rsidP="00FC0002">
      <w:pPr>
        <w:pStyle w:val="CGPC-elearning"/>
        <w:rPr>
          <w:rFonts w:ascii="Times New Roman" w:hAnsi="Times New Roman" w:cs="Times New Roman"/>
        </w:rPr>
      </w:pPr>
      <w:r>
        <w:t>L’imposition des rémunérations des dirigeants dépend du régime fiscal et de la forme juridique de la société.</w:t>
      </w:r>
    </w:p>
    <w:p w14:paraId="06F79048" w14:textId="2EC7DE8B" w:rsidR="00197C2B" w:rsidRDefault="00197C2B" w:rsidP="00FC0002">
      <w:pPr>
        <w:pStyle w:val="Titre4"/>
      </w:pPr>
      <w:r>
        <w:t>Société soumise à l’impôt sur le revenu (IR)</w:t>
      </w:r>
    </w:p>
    <w:p w14:paraId="6266E0BD" w14:textId="2F49079E" w:rsidR="00197C2B" w:rsidRPr="00FA49CD" w:rsidRDefault="00197C2B" w:rsidP="00FC0002">
      <w:pPr>
        <w:pStyle w:val="Titre5"/>
      </w:pPr>
      <w:r w:rsidRPr="00FA49CD">
        <w:t>Pour le dirigeant associé</w:t>
      </w:r>
    </w:p>
    <w:p w14:paraId="21000B0D" w14:textId="77777777" w:rsidR="00BF6145" w:rsidRDefault="00BF6145" w:rsidP="00FC0002">
      <w:pPr>
        <w:pStyle w:val="CGPC-elearning"/>
        <w:sectPr w:rsidR="00BF6145" w:rsidSect="00B42E87">
          <w:headerReference w:type="default" r:id="rId13"/>
          <w:footerReference w:type="default" r:id="rId14"/>
          <w:pgSz w:w="23811" w:h="16838" w:orient="landscape" w:code="8"/>
          <w:pgMar w:top="1440" w:right="1440" w:bottom="1440" w:left="1440" w:header="720" w:footer="720" w:gutter="0"/>
          <w:pgNumType w:start="0"/>
          <w:cols w:space="720"/>
          <w:titlePg/>
          <w:docGrid w:linePitch="360"/>
        </w:sectPr>
      </w:pPr>
    </w:p>
    <w:p w14:paraId="1FC8908C" w14:textId="44B1395C" w:rsidR="00197C2B" w:rsidRDefault="00197C2B" w:rsidP="00FC0002">
      <w:pPr>
        <w:pStyle w:val="CGPC-elearning"/>
        <w:rPr>
          <w:rFonts w:ascii="Times New Roman" w:hAnsi="Times New Roman" w:cs="Times New Roman"/>
        </w:rPr>
      </w:pPr>
      <w:r>
        <w:t>Les rémunérations des dirigeants associés d’une société n’ayant pas opté pour l’IS (société en nom collectif, société civile immobilière notamment) sont considérées comme une répartition des bénéfices de la société.</w:t>
      </w:r>
    </w:p>
    <w:p w14:paraId="6C5E1530" w14:textId="77777777" w:rsidR="00197C2B" w:rsidRDefault="00197C2B" w:rsidP="00FC0002">
      <w:pPr>
        <w:pStyle w:val="CGPC-elearning"/>
      </w:pPr>
      <w:r>
        <w:t>Ces sommes sont soumises à l’impôt sur le revenu, au nom du dirigeant, dans la catégorie correspondant à la nature de l’activité de la société (BIC, BNC, BA, revenus fonciers).</w:t>
      </w:r>
    </w:p>
    <w:p w14:paraId="705FB378" w14:textId="77777777" w:rsidR="00197C2B" w:rsidRDefault="00197C2B" w:rsidP="00FC0002">
      <w:pPr>
        <w:pStyle w:val="CGPC-elearning"/>
      </w:pPr>
      <w:r>
        <w:t>Elles ne sont pas déductibles des bénéfices réalisés par la société.</w:t>
      </w:r>
    </w:p>
    <w:p w14:paraId="19B4B409" w14:textId="77777777" w:rsidR="00BF6145" w:rsidRDefault="00BF6145" w:rsidP="00FC0002">
      <w:pPr>
        <w:pStyle w:val="CGPC-elearning"/>
        <w:sectPr w:rsidR="00BF6145" w:rsidSect="00BF6145">
          <w:type w:val="continuous"/>
          <w:pgSz w:w="23811" w:h="16838" w:orient="landscape" w:code="8"/>
          <w:pgMar w:top="1440" w:right="1440" w:bottom="1440" w:left="1440" w:header="720" w:footer="720" w:gutter="0"/>
          <w:pgNumType w:start="0"/>
          <w:cols w:num="2" w:space="720"/>
          <w:titlePg/>
          <w:docGrid w:linePitch="360"/>
        </w:sectPr>
      </w:pPr>
    </w:p>
    <w:p w14:paraId="1CA091DF" w14:textId="06B8747E" w:rsidR="00B16EA9" w:rsidRDefault="00B16EA9" w:rsidP="00BF6145">
      <w:pPr>
        <w:pStyle w:val="CGPC-elearning"/>
        <w:jc w:val="center"/>
      </w:pPr>
      <w:r>
        <w:rPr>
          <w:noProof/>
        </w:rPr>
        <w:drawing>
          <wp:inline distT="0" distB="0" distL="0" distR="0" wp14:anchorId="6D59B81F" wp14:editId="2626102E">
            <wp:extent cx="5410200" cy="4828150"/>
            <wp:effectExtent l="0" t="0" r="0" b="0"/>
            <wp:docPr id="266124815" name="Image 5" descr="Une image contenant texte, capture d’écran,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124815" name="Image 5" descr="Une image contenant texte, capture d’écran, Police"/>
                    <pic:cNvPicPr/>
                  </pic:nvPicPr>
                  <pic:blipFill>
                    <a:blip r:embed="rId15">
                      <a:extLst>
                        <a:ext uri="{28A0092B-C50C-407E-A947-70E740481C1C}">
                          <a14:useLocalDpi xmlns:a14="http://schemas.microsoft.com/office/drawing/2010/main" val="0"/>
                        </a:ext>
                      </a:extLst>
                    </a:blip>
                    <a:stretch>
                      <a:fillRect/>
                    </a:stretch>
                  </pic:blipFill>
                  <pic:spPr>
                    <a:xfrm>
                      <a:off x="0" y="0"/>
                      <a:ext cx="5429469" cy="4845346"/>
                    </a:xfrm>
                    <a:prstGeom prst="rect">
                      <a:avLst/>
                    </a:prstGeom>
                  </pic:spPr>
                </pic:pic>
              </a:graphicData>
            </a:graphic>
          </wp:inline>
        </w:drawing>
      </w:r>
    </w:p>
    <w:p w14:paraId="2274E520" w14:textId="0B49F192" w:rsidR="00197C2B" w:rsidRDefault="00197C2B" w:rsidP="00FC0002">
      <w:pPr>
        <w:pStyle w:val="Titre5"/>
      </w:pPr>
      <w:r>
        <w:lastRenderedPageBreak/>
        <w:t>Pour le gérant salarié non associé</w:t>
      </w:r>
    </w:p>
    <w:p w14:paraId="7986D111" w14:textId="00EF57DE" w:rsidR="00197C2B" w:rsidRDefault="00197C2B" w:rsidP="00FC0002">
      <w:pPr>
        <w:pStyle w:val="CGPC-elearning"/>
        <w:rPr>
          <w:rFonts w:ascii="Times New Roman" w:hAnsi="Times New Roman" w:cs="Times New Roman"/>
        </w:rPr>
      </w:pPr>
      <w:r>
        <w:t>Les rémunérations des gérants salariés non associés sont imposées à l’impôt sur le revenu dans la catégorie des traitements et salaires.</w:t>
      </w:r>
    </w:p>
    <w:p w14:paraId="440F6E37" w14:textId="77777777" w:rsidR="00197C2B" w:rsidRDefault="00197C2B" w:rsidP="00FC0002">
      <w:pPr>
        <w:pStyle w:val="CGPC-elearning"/>
      </w:pPr>
      <w:r>
        <w:t>Elles sont déductibles pour la détermination du résultat imposable de la société dans la mesure où elles correspondent à un travail effectif et ne sont pas excessives au regard du service rendu.</w:t>
      </w:r>
    </w:p>
    <w:p w14:paraId="2B8ABCC4" w14:textId="2BADF7BE" w:rsidR="00872D07" w:rsidRDefault="00700DF2" w:rsidP="00FC0002">
      <w:pPr>
        <w:pStyle w:val="CGPC-elearning"/>
      </w:pPr>
      <w:r>
        <w:rPr>
          <w:noProof/>
        </w:rPr>
        <w:drawing>
          <wp:inline distT="0" distB="0" distL="0" distR="0" wp14:anchorId="4C05F1FD" wp14:editId="0F66AAA0">
            <wp:extent cx="8497101" cy="3452648"/>
            <wp:effectExtent l="0" t="0" r="0" b="0"/>
            <wp:docPr id="1960907888" name="Image 6" descr="Une image contenant texte, capture d’écran,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907888" name="Image 6" descr="Une image contenant texte, capture d’écran, Police"/>
                    <pic:cNvPicPr/>
                  </pic:nvPicPr>
                  <pic:blipFill>
                    <a:blip r:embed="rId16">
                      <a:extLst>
                        <a:ext uri="{28A0092B-C50C-407E-A947-70E740481C1C}">
                          <a14:useLocalDpi xmlns:a14="http://schemas.microsoft.com/office/drawing/2010/main" val="0"/>
                        </a:ext>
                      </a:extLst>
                    </a:blip>
                    <a:stretch>
                      <a:fillRect/>
                    </a:stretch>
                  </pic:blipFill>
                  <pic:spPr>
                    <a:xfrm>
                      <a:off x="0" y="0"/>
                      <a:ext cx="8503488" cy="3455243"/>
                    </a:xfrm>
                    <a:prstGeom prst="rect">
                      <a:avLst/>
                    </a:prstGeom>
                  </pic:spPr>
                </pic:pic>
              </a:graphicData>
            </a:graphic>
          </wp:inline>
        </w:drawing>
      </w:r>
    </w:p>
    <w:p w14:paraId="38788B90" w14:textId="77777777" w:rsidR="00D647DA" w:rsidRDefault="00D647DA" w:rsidP="00FC0002">
      <w:pPr>
        <w:pStyle w:val="CGPC-elearning"/>
      </w:pPr>
    </w:p>
    <w:p w14:paraId="1F040355" w14:textId="77A02445" w:rsidR="00197C2B" w:rsidRDefault="00197C2B" w:rsidP="00FC0002">
      <w:pPr>
        <w:pStyle w:val="Titre4"/>
      </w:pPr>
      <w:r w:rsidRPr="008A52B4">
        <w:t>Société</w:t>
      </w:r>
      <w:r>
        <w:t xml:space="preserve"> soumise à l’impôt sur les sociétés (IS)</w:t>
      </w:r>
    </w:p>
    <w:p w14:paraId="1EBB929E" w14:textId="77777777" w:rsidR="008A52B4" w:rsidRDefault="008A52B4" w:rsidP="008A52B4">
      <w:pPr>
        <w:rPr>
          <w:rFonts w:cs="Open Sans"/>
          <w:color w:val="3A5D9C"/>
          <w:sz w:val="21"/>
          <w:szCs w:val="21"/>
          <w:u w:val="single"/>
          <w:bdr w:val="none" w:sz="0" w:space="0" w:color="auto" w:frame="1"/>
        </w:rPr>
      </w:pPr>
    </w:p>
    <w:p w14:paraId="78009510" w14:textId="1CF4840D" w:rsidR="00197C2B" w:rsidRPr="008A52B4" w:rsidRDefault="00197C2B" w:rsidP="00FC0002">
      <w:pPr>
        <w:pStyle w:val="Titre5"/>
        <w:numPr>
          <w:ilvl w:val="0"/>
          <w:numId w:val="12"/>
        </w:numPr>
      </w:pPr>
      <w:r w:rsidRPr="008A52B4">
        <w:t>Pour le gérant associé majoritaire ou minoritaire</w:t>
      </w:r>
    </w:p>
    <w:p w14:paraId="49638810" w14:textId="77777777" w:rsidR="00197C2B" w:rsidRDefault="00197C2B" w:rsidP="00FC0002">
      <w:pPr>
        <w:pStyle w:val="CGPC-elearning"/>
        <w:rPr>
          <w:rFonts w:ascii="Times New Roman" w:hAnsi="Times New Roman" w:cs="Times New Roman"/>
        </w:rPr>
      </w:pPr>
      <w:r>
        <w:t>La rémunération liée à la fonction perçue par les gérants associés minoritaires ou majoritaires de sociétés relevant de l’impôt sur les sociétés (IS) est soumise au même régime fiscal dans deux catégories d’imposition :</w:t>
      </w:r>
    </w:p>
    <w:p w14:paraId="0A67B465" w14:textId="72B1EE98" w:rsidR="00197C2B" w:rsidRDefault="00D647DA" w:rsidP="00FC0002">
      <w:pPr>
        <w:pStyle w:val="CGPC-elearning"/>
      </w:pPr>
      <w:r>
        <w:t xml:space="preserve">- </w:t>
      </w:r>
      <w:r w:rsidR="00197C2B">
        <w:t>les gérants minoritaires, assimilés à des salariés, sont imposés au titre des traitements et salaires ;</w:t>
      </w:r>
    </w:p>
    <w:p w14:paraId="47802D5B" w14:textId="7E3C1647" w:rsidR="00197C2B" w:rsidRDefault="00D647DA" w:rsidP="00FC0002">
      <w:pPr>
        <w:pStyle w:val="CGPC-elearning"/>
      </w:pPr>
      <w:r>
        <w:t xml:space="preserve">- </w:t>
      </w:r>
      <w:r w:rsidR="00197C2B">
        <w:t>les gérants majoritaires, même s’ils ne sont pas assimilés à des salariés fiscalement, sont imposés à l’impôt sur le revenu dans la catégorie des rémunérations de dirigeants (CGI, art. 62).</w:t>
      </w:r>
    </w:p>
    <w:p w14:paraId="577F5D9A" w14:textId="69543718" w:rsidR="00361E0B" w:rsidRDefault="00361E0B" w:rsidP="00BF6145">
      <w:pPr>
        <w:pStyle w:val="CGPC-elearning"/>
        <w:jc w:val="center"/>
      </w:pPr>
      <w:r>
        <w:rPr>
          <w:noProof/>
        </w:rPr>
        <w:lastRenderedPageBreak/>
        <w:drawing>
          <wp:inline distT="0" distB="0" distL="0" distR="0" wp14:anchorId="5ED292CC" wp14:editId="3F29DEC5">
            <wp:extent cx="7791450" cy="6534150"/>
            <wp:effectExtent l="0" t="0" r="0" b="0"/>
            <wp:docPr id="307016554" name="Image 7" descr="Une image contenant texte, capture d’écran,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016554" name="Image 7" descr="Une image contenant texte, capture d’écran, Police"/>
                    <pic:cNvPicPr/>
                  </pic:nvPicPr>
                  <pic:blipFill>
                    <a:blip r:embed="rId17">
                      <a:extLst>
                        <a:ext uri="{28A0092B-C50C-407E-A947-70E740481C1C}">
                          <a14:useLocalDpi xmlns:a14="http://schemas.microsoft.com/office/drawing/2010/main" val="0"/>
                        </a:ext>
                      </a:extLst>
                    </a:blip>
                    <a:stretch>
                      <a:fillRect/>
                    </a:stretch>
                  </pic:blipFill>
                  <pic:spPr>
                    <a:xfrm>
                      <a:off x="0" y="0"/>
                      <a:ext cx="7791450" cy="6534150"/>
                    </a:xfrm>
                    <a:prstGeom prst="rect">
                      <a:avLst/>
                    </a:prstGeom>
                  </pic:spPr>
                </pic:pic>
              </a:graphicData>
            </a:graphic>
          </wp:inline>
        </w:drawing>
      </w:r>
    </w:p>
    <w:p w14:paraId="622FADE8" w14:textId="77777777" w:rsidR="00D647DA" w:rsidRDefault="00D647DA" w:rsidP="00FC0002">
      <w:pPr>
        <w:pStyle w:val="CGPC-elearning"/>
      </w:pPr>
    </w:p>
    <w:p w14:paraId="1B58CB69" w14:textId="77777777" w:rsidR="00197C2B" w:rsidRDefault="00197C2B" w:rsidP="00FC0002">
      <w:pPr>
        <w:pStyle w:val="CGPC-elearning"/>
      </w:pPr>
      <w:r>
        <w:t>Au niveau de la société, les rémunérations des gérants (minoritaires ou majoritaires) sont déductibles des bénéfices imposables, dans la mesure où elles correspondent à un travail effectif.</w:t>
      </w:r>
    </w:p>
    <w:p w14:paraId="38803C55" w14:textId="77777777" w:rsidR="00197C2B" w:rsidRDefault="00197C2B" w:rsidP="00FC0002">
      <w:pPr>
        <w:pStyle w:val="CGPC-elearning"/>
      </w:pPr>
      <w:r>
        <w:t>Une rémunération sur le capital investi permet aux associés des sociétés soumises à l’IS de percevoir des dividendes, c’est-à-dire une partie des bénéfices générés par la société.</w:t>
      </w:r>
    </w:p>
    <w:p w14:paraId="5A2F90E5" w14:textId="77777777" w:rsidR="00D647DA" w:rsidRDefault="00D647DA" w:rsidP="00FC0002">
      <w:pPr>
        <w:pStyle w:val="CGPC-elearning"/>
      </w:pPr>
    </w:p>
    <w:p w14:paraId="2A9763C5" w14:textId="77777777" w:rsidR="00197C2B" w:rsidRDefault="00197C2B" w:rsidP="00FC0002">
      <w:pPr>
        <w:pStyle w:val="CGPC-elearning"/>
      </w:pPr>
      <w:r>
        <w:lastRenderedPageBreak/>
        <w:t>Pour pouvoir distribuer des dividendes la société doit avoir :</w:t>
      </w:r>
    </w:p>
    <w:p w14:paraId="0CDB3CB5" w14:textId="6DD68571" w:rsidR="00197C2B" w:rsidRDefault="00D647DA" w:rsidP="00FC0002">
      <w:pPr>
        <w:pStyle w:val="CGPC-elearning"/>
      </w:pPr>
      <w:r>
        <w:t xml:space="preserve">- </w:t>
      </w:r>
      <w:r w:rsidR="00197C2B">
        <w:t>libéré entièrement le capital social ;</w:t>
      </w:r>
    </w:p>
    <w:p w14:paraId="51B4B1D0" w14:textId="3229161F" w:rsidR="00197C2B" w:rsidRDefault="00D647DA" w:rsidP="00FC0002">
      <w:pPr>
        <w:pStyle w:val="CGPC-elearning"/>
      </w:pPr>
      <w:r>
        <w:t xml:space="preserve">- </w:t>
      </w:r>
      <w:r w:rsidR="00197C2B">
        <w:t>constitué la réserve légale jusqu’à 10 % du capital social ;</w:t>
      </w:r>
    </w:p>
    <w:p w14:paraId="1C164C09" w14:textId="6D426B6A" w:rsidR="00197C2B" w:rsidRDefault="00D647DA" w:rsidP="00FC0002">
      <w:pPr>
        <w:pStyle w:val="CGPC-elearning"/>
      </w:pPr>
      <w:r>
        <w:t xml:space="preserve">- </w:t>
      </w:r>
      <w:r w:rsidR="00197C2B">
        <w:t>dégagé des réserves distribuables (bénéfices ; report à nouveau bénéficiaire) sans avoir des pertes antérieures à apurer ;</w:t>
      </w:r>
    </w:p>
    <w:p w14:paraId="1E6FB616" w14:textId="281FBEA4" w:rsidR="00197C2B" w:rsidRDefault="00D647DA" w:rsidP="00FC0002">
      <w:pPr>
        <w:pStyle w:val="CGPC-elearning"/>
      </w:pPr>
      <w:r>
        <w:t xml:space="preserve">- </w:t>
      </w:r>
      <w:r w:rsidR="00197C2B">
        <w:t>voté la distribution par les associés dans une assemblée générale ordinaire.</w:t>
      </w:r>
    </w:p>
    <w:p w14:paraId="3EA9220A" w14:textId="77777777" w:rsidR="00197C2B" w:rsidRDefault="00197C2B" w:rsidP="00FC0002">
      <w:pPr>
        <w:pStyle w:val="CGPC-elearning"/>
      </w:pPr>
      <w:r w:rsidRPr="00D647DA">
        <w:t>Lors de leur mise en paiement, les dividendes subissent obligatoirement un prélèvement    forfaitaire obligatoire (PFO) de 12,8 % de leur montant brut ponctionné à la source en même temps que les 17,2 % de prélèvements sociaux. Ce prélèvement n’est pas libératoire. Il s’impute l’année suivante sur l’impôt finalement dû (l’excédent est éventuellement restitué).</w:t>
      </w:r>
    </w:p>
    <w:p w14:paraId="35A38610" w14:textId="02D7E2CE" w:rsidR="009A7A08" w:rsidRDefault="009A7A08" w:rsidP="00BF6145">
      <w:pPr>
        <w:pStyle w:val="CGPC-elearning"/>
        <w:jc w:val="center"/>
      </w:pPr>
      <w:r>
        <w:rPr>
          <w:noProof/>
        </w:rPr>
        <w:drawing>
          <wp:inline distT="0" distB="0" distL="0" distR="0" wp14:anchorId="2F2498C2" wp14:editId="78261412">
            <wp:extent cx="5785944" cy="5638218"/>
            <wp:effectExtent l="0" t="0" r="5715" b="635"/>
            <wp:docPr id="1158962067" name="Image 8" descr="Une image contenant texte, capture d’écran, Polic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962067" name="Image 8" descr="Une image contenant texte, capture d’écran, Police, logo"/>
                    <pic:cNvPicPr/>
                  </pic:nvPicPr>
                  <pic:blipFill>
                    <a:blip r:embed="rId18">
                      <a:extLst>
                        <a:ext uri="{28A0092B-C50C-407E-A947-70E740481C1C}">
                          <a14:useLocalDpi xmlns:a14="http://schemas.microsoft.com/office/drawing/2010/main" val="0"/>
                        </a:ext>
                      </a:extLst>
                    </a:blip>
                    <a:stretch>
                      <a:fillRect/>
                    </a:stretch>
                  </pic:blipFill>
                  <pic:spPr>
                    <a:xfrm>
                      <a:off x="0" y="0"/>
                      <a:ext cx="5791745" cy="5643871"/>
                    </a:xfrm>
                    <a:prstGeom prst="rect">
                      <a:avLst/>
                    </a:prstGeom>
                  </pic:spPr>
                </pic:pic>
              </a:graphicData>
            </a:graphic>
          </wp:inline>
        </w:drawing>
      </w:r>
    </w:p>
    <w:p w14:paraId="2E1441CB" w14:textId="77777777" w:rsidR="00EA0B89" w:rsidRPr="00D647DA" w:rsidRDefault="00EA0B89" w:rsidP="00FC0002">
      <w:pPr>
        <w:pStyle w:val="CGPC-elearning"/>
      </w:pPr>
    </w:p>
    <w:p w14:paraId="798BAE60" w14:textId="62FDEFA9" w:rsidR="00197C2B" w:rsidRDefault="00197C2B" w:rsidP="00FC0002">
      <w:pPr>
        <w:pStyle w:val="Titre5"/>
      </w:pPr>
      <w:r>
        <w:lastRenderedPageBreak/>
        <w:t>Pour les dirigeants salariés non associés</w:t>
      </w:r>
    </w:p>
    <w:p w14:paraId="498DE9DC" w14:textId="77777777" w:rsidR="00BF6145" w:rsidRDefault="00BF6145" w:rsidP="00FC0002">
      <w:pPr>
        <w:pStyle w:val="CGPC-elearning"/>
        <w:sectPr w:rsidR="00BF6145" w:rsidSect="00BF6145">
          <w:type w:val="continuous"/>
          <w:pgSz w:w="23811" w:h="16838" w:orient="landscape" w:code="8"/>
          <w:pgMar w:top="1440" w:right="1440" w:bottom="1440" w:left="1440" w:header="720" w:footer="720" w:gutter="0"/>
          <w:pgNumType w:start="0"/>
          <w:cols w:space="720"/>
          <w:titlePg/>
          <w:docGrid w:linePitch="360"/>
        </w:sectPr>
      </w:pPr>
    </w:p>
    <w:p w14:paraId="7EAD836B" w14:textId="77777777" w:rsidR="00197C2B" w:rsidRDefault="00197C2B" w:rsidP="00FC0002">
      <w:pPr>
        <w:pStyle w:val="CGPC-elearning"/>
        <w:rPr>
          <w:rFonts w:ascii="Times New Roman" w:hAnsi="Times New Roman" w:cs="Times New Roman"/>
        </w:rPr>
      </w:pPr>
      <w:r>
        <w:t>Les dirigeants d’entreprise non associés « assimilés salariés » peuvent être :</w:t>
      </w:r>
    </w:p>
    <w:p w14:paraId="6197AB76" w14:textId="72E8EFA0" w:rsidR="00197C2B" w:rsidRDefault="00D647DA" w:rsidP="00FC0002">
      <w:pPr>
        <w:pStyle w:val="CGPC-elearning"/>
      </w:pPr>
      <w:r>
        <w:t xml:space="preserve">- </w:t>
      </w:r>
      <w:r w:rsidR="00197C2B">
        <w:t>les gérants non associés d’EURL ;</w:t>
      </w:r>
    </w:p>
    <w:p w14:paraId="1299B6FF" w14:textId="37F47463" w:rsidR="00197C2B" w:rsidRDefault="00D647DA" w:rsidP="00FC0002">
      <w:pPr>
        <w:pStyle w:val="CGPC-elearning"/>
      </w:pPr>
      <w:r>
        <w:t xml:space="preserve">- </w:t>
      </w:r>
      <w:r w:rsidR="00197C2B">
        <w:t>les gérants égalitaires ou minoritaires de SARL ;</w:t>
      </w:r>
    </w:p>
    <w:p w14:paraId="2E0E020B" w14:textId="3821CDF6" w:rsidR="00197C2B" w:rsidRDefault="00D647DA" w:rsidP="00FC0002">
      <w:pPr>
        <w:pStyle w:val="CGPC-elearning"/>
      </w:pPr>
      <w:r>
        <w:t xml:space="preserve">- </w:t>
      </w:r>
      <w:r w:rsidR="00197C2B">
        <w:t>les présidents de sociétés par actions simplifiée (SAS) ;</w:t>
      </w:r>
    </w:p>
    <w:p w14:paraId="6A713CAE" w14:textId="03E72199" w:rsidR="00197C2B" w:rsidRDefault="00D647DA" w:rsidP="00FC0002">
      <w:pPr>
        <w:pStyle w:val="CGPC-elearning"/>
      </w:pPr>
      <w:r>
        <w:t xml:space="preserve">- </w:t>
      </w:r>
      <w:r w:rsidR="00197C2B">
        <w:t>les directeurs généraux ;</w:t>
      </w:r>
    </w:p>
    <w:p w14:paraId="1531D381" w14:textId="5500AC25" w:rsidR="00197C2B" w:rsidRDefault="00D647DA" w:rsidP="00FC0002">
      <w:pPr>
        <w:pStyle w:val="CGPC-elearning"/>
      </w:pPr>
      <w:r>
        <w:t xml:space="preserve">- </w:t>
      </w:r>
      <w:r w:rsidR="00197C2B">
        <w:t>les présidents de conseil d’administration ;</w:t>
      </w:r>
    </w:p>
    <w:p w14:paraId="338BABBE" w14:textId="15D8DED0" w:rsidR="00197C2B" w:rsidRDefault="00D647DA" w:rsidP="00FC0002">
      <w:pPr>
        <w:pStyle w:val="CGPC-elearning"/>
      </w:pPr>
      <w:r>
        <w:t xml:space="preserve">- </w:t>
      </w:r>
      <w:r w:rsidR="00197C2B">
        <w:t>les présidents-directeurs généraux, les présidents du conseil de surveillance et les directeurs généraux de sociétés anonymes (SA).</w:t>
      </w:r>
    </w:p>
    <w:p w14:paraId="3BE87D19" w14:textId="77777777" w:rsidR="00D647DA" w:rsidRDefault="00D647DA" w:rsidP="00FC0002">
      <w:pPr>
        <w:pStyle w:val="CGPC-elearning"/>
      </w:pPr>
    </w:p>
    <w:p w14:paraId="1048747D" w14:textId="5D01796F" w:rsidR="00197C2B" w:rsidRDefault="00197C2B" w:rsidP="00FC0002">
      <w:pPr>
        <w:pStyle w:val="CGPC-elearning"/>
      </w:pPr>
      <w:r>
        <w:t xml:space="preserve">La rémunération et les indemnités de ces dirigeants ont la nature de salaire. </w:t>
      </w:r>
      <w:r w:rsidR="00D647DA">
        <w:t>Ce derniers</w:t>
      </w:r>
      <w:r>
        <w:t xml:space="preserve"> relèvent du régime des « assimilés-salariés » et donc du </w:t>
      </w:r>
      <w:r>
        <w:t xml:space="preserve">régime général de la sécurité sociale. </w:t>
      </w:r>
      <w:r w:rsidR="00D647DA">
        <w:t xml:space="preserve">Lesdites </w:t>
      </w:r>
      <w:r>
        <w:t xml:space="preserve">rémunérations sont imposables sur le revenu dans les mêmes conditions que </w:t>
      </w:r>
      <w:r w:rsidR="00D647DA">
        <w:t xml:space="preserve">pour </w:t>
      </w:r>
      <w:r>
        <w:t>les salariés.</w:t>
      </w:r>
    </w:p>
    <w:p w14:paraId="46A9986E" w14:textId="77777777" w:rsidR="00197C2B" w:rsidRDefault="00197C2B" w:rsidP="00FC0002">
      <w:pPr>
        <w:pStyle w:val="CGPC-elearning"/>
      </w:pPr>
      <w:r>
        <w:t>Si l’entreprise est imposable à l’impôt sur les sociétés, l’assiette des cotisations sociales est calculée sur la base des rémunérations du dirigeant.</w:t>
      </w:r>
    </w:p>
    <w:p w14:paraId="73499690" w14:textId="77777777" w:rsidR="00197C2B" w:rsidRDefault="00197C2B" w:rsidP="00FC0002">
      <w:pPr>
        <w:pStyle w:val="CGPC-elearning"/>
      </w:pPr>
      <w:r>
        <w:t>Dans le cadre de leur activité de conseil, les administrateurs du conseil d’administration et les membres de conseil de surveillance exerçant des fonctions de salariés de direction peuvent percevoir une rémunération supplémentaire : les jetons de présence « spéciaux ».</w:t>
      </w:r>
    </w:p>
    <w:p w14:paraId="69221403" w14:textId="77777777" w:rsidR="00197C2B" w:rsidRDefault="00197C2B" w:rsidP="00FC0002">
      <w:pPr>
        <w:pStyle w:val="CGPC-elearning"/>
      </w:pPr>
      <w:r>
        <w:t>Les jetons de présence spéciaux versés aux administrateurs (président du conseil d’administration, directeur général, administrateur provisoirement délégué, directeurs généraux délégués) sont imposables dans la catégorie des traitements et salaires (ces jetons entrent dans le champ d’application du prélèvement de l’impôt à la source).</w:t>
      </w:r>
    </w:p>
    <w:p w14:paraId="64516ED1" w14:textId="77777777" w:rsidR="00BF6145" w:rsidRDefault="00BF6145" w:rsidP="00FC0002">
      <w:pPr>
        <w:pStyle w:val="CGPC-elearning"/>
        <w:sectPr w:rsidR="00BF6145" w:rsidSect="00BF6145">
          <w:type w:val="continuous"/>
          <w:pgSz w:w="23811" w:h="16838" w:orient="landscape" w:code="8"/>
          <w:pgMar w:top="1440" w:right="1440" w:bottom="1440" w:left="1440" w:header="720" w:footer="720" w:gutter="0"/>
          <w:pgNumType w:start="0"/>
          <w:cols w:num="2" w:space="720"/>
          <w:titlePg/>
          <w:docGrid w:linePitch="360"/>
        </w:sectPr>
      </w:pPr>
    </w:p>
    <w:p w14:paraId="66882207" w14:textId="630E95D1" w:rsidR="00233047" w:rsidRDefault="00233047" w:rsidP="00BF6145">
      <w:pPr>
        <w:pStyle w:val="CGPC-elearning"/>
        <w:jc w:val="center"/>
      </w:pPr>
      <w:r>
        <w:rPr>
          <w:noProof/>
        </w:rPr>
        <w:drawing>
          <wp:inline distT="0" distB="0" distL="0" distR="0" wp14:anchorId="41966F15" wp14:editId="4AB8465C">
            <wp:extent cx="6381750" cy="4201152"/>
            <wp:effectExtent l="0" t="0" r="0" b="9525"/>
            <wp:docPr id="1617125677" name="Image 9" descr="Une image contenant texte, capture d’écran, Polic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125677" name="Image 9" descr="Une image contenant texte, capture d’écran, Police, logo"/>
                    <pic:cNvPicPr/>
                  </pic:nvPicPr>
                  <pic:blipFill>
                    <a:blip r:embed="rId19">
                      <a:extLst>
                        <a:ext uri="{28A0092B-C50C-407E-A947-70E740481C1C}">
                          <a14:useLocalDpi xmlns:a14="http://schemas.microsoft.com/office/drawing/2010/main" val="0"/>
                        </a:ext>
                      </a:extLst>
                    </a:blip>
                    <a:stretch>
                      <a:fillRect/>
                    </a:stretch>
                  </pic:blipFill>
                  <pic:spPr>
                    <a:xfrm>
                      <a:off x="0" y="0"/>
                      <a:ext cx="6387178" cy="4204726"/>
                    </a:xfrm>
                    <a:prstGeom prst="rect">
                      <a:avLst/>
                    </a:prstGeom>
                  </pic:spPr>
                </pic:pic>
              </a:graphicData>
            </a:graphic>
          </wp:inline>
        </w:drawing>
      </w:r>
    </w:p>
    <w:p w14:paraId="1C9C6D1F" w14:textId="77777777" w:rsidR="00D647DA" w:rsidRDefault="00D647DA" w:rsidP="00FC0002">
      <w:pPr>
        <w:pStyle w:val="CGPC-elearning"/>
      </w:pPr>
    </w:p>
    <w:p w14:paraId="5B546C73" w14:textId="7FADAD05" w:rsidR="007F2091" w:rsidRDefault="00197C2B" w:rsidP="00FC0002">
      <w:pPr>
        <w:pStyle w:val="Titre3"/>
      </w:pPr>
      <w:bookmarkStart w:id="3" w:name="_Toc186712240"/>
      <w:r w:rsidRPr="007F2091">
        <w:t>La rémunération du gérant d’une société civile</w:t>
      </w:r>
      <w:bookmarkEnd w:id="3"/>
    </w:p>
    <w:p w14:paraId="0B3FB034" w14:textId="49B112C1" w:rsidR="00197C2B" w:rsidRDefault="00197C2B" w:rsidP="00FC0002">
      <w:pPr>
        <w:pStyle w:val="CGPC-elearning"/>
        <w:rPr>
          <w:rFonts w:ascii="Times New Roman" w:hAnsi="Times New Roman" w:cs="Times New Roman"/>
        </w:rPr>
      </w:pPr>
      <w:r>
        <w:t xml:space="preserve">Une rémunération en SCI est en général inexistante. </w:t>
      </w:r>
      <w:r w:rsidR="00D647DA">
        <w:br/>
      </w:r>
      <w:r>
        <w:t>La plupart du temps, le gérant de la société travaille gratuitement. Le versement d’un salaire n’est cependant pas interdit par la loi et les associés peuvent le mettre en place. Il faut dans ce cas que la décision soit établie formellement dans un acte ayant une valeur légale.</w:t>
      </w:r>
    </w:p>
    <w:p w14:paraId="25576620" w14:textId="77777777" w:rsidR="00197C2B" w:rsidRDefault="00197C2B" w:rsidP="00FC0002">
      <w:pPr>
        <w:pStyle w:val="CGPC-elearning"/>
      </w:pPr>
      <w:r>
        <w:t>Le montant est fixé en tenant compte du statut du gérant, du régime fiscal de la société, du lien de subordination avec l’entreprise.</w:t>
      </w:r>
    </w:p>
    <w:p w14:paraId="24F5AC0C" w14:textId="6BBA164D" w:rsidR="00197C2B" w:rsidRPr="00FA49CD" w:rsidRDefault="00197C2B" w:rsidP="00FC0002">
      <w:pPr>
        <w:pStyle w:val="Titre4"/>
        <w:numPr>
          <w:ilvl w:val="0"/>
          <w:numId w:val="4"/>
        </w:numPr>
      </w:pPr>
      <w:r w:rsidRPr="00FA49CD">
        <w:t>Pour le gérant non associé</w:t>
      </w:r>
    </w:p>
    <w:p w14:paraId="7FD61AB4" w14:textId="77777777" w:rsidR="00197C2B" w:rsidRDefault="00197C2B" w:rsidP="00FC0002">
      <w:pPr>
        <w:pStyle w:val="CGPC-elearning"/>
        <w:rPr>
          <w:rFonts w:ascii="Times New Roman" w:hAnsi="Times New Roman" w:cs="Times New Roman"/>
        </w:rPr>
      </w:pPr>
      <w:r>
        <w:t>Une seule modalité d’imposition existe pour les gérants non associés, quel que soit le régime fiscal de la société (IS ou IR). Étant dans un lien de subordination à l’égard de la société (ils sont tenus de lui rendre des comptes), leur rémunération est imposée dans la catégorie des traitements et salaire.</w:t>
      </w:r>
    </w:p>
    <w:p w14:paraId="53CB5D22" w14:textId="77777777" w:rsidR="00197C2B" w:rsidRDefault="00197C2B" w:rsidP="00FC0002">
      <w:pPr>
        <w:pStyle w:val="CGPC-elearning"/>
      </w:pPr>
      <w:r>
        <w:t>Leur rémunération est déductible des résultats de la société.</w:t>
      </w:r>
    </w:p>
    <w:p w14:paraId="10AA8CF9" w14:textId="5ADB3376" w:rsidR="00C33BF2" w:rsidRDefault="00C33BF2" w:rsidP="00FC0002">
      <w:pPr>
        <w:pStyle w:val="CGPC-elearning"/>
      </w:pPr>
      <w:r>
        <w:rPr>
          <w:noProof/>
        </w:rPr>
        <w:drawing>
          <wp:inline distT="0" distB="0" distL="0" distR="0" wp14:anchorId="2652267C" wp14:editId="14253FCD">
            <wp:extent cx="9277350" cy="2076450"/>
            <wp:effectExtent l="0" t="0" r="0" b="0"/>
            <wp:docPr id="1557728668" name="Image 10" descr="Une image contenant texte, Police, capture d’écran, lig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728668" name="Image 10" descr="Une image contenant texte, Police, capture d’écran, ligne"/>
                    <pic:cNvPicPr/>
                  </pic:nvPicPr>
                  <pic:blipFill>
                    <a:blip r:embed="rId20">
                      <a:extLst>
                        <a:ext uri="{28A0092B-C50C-407E-A947-70E740481C1C}">
                          <a14:useLocalDpi xmlns:a14="http://schemas.microsoft.com/office/drawing/2010/main" val="0"/>
                        </a:ext>
                      </a:extLst>
                    </a:blip>
                    <a:stretch>
                      <a:fillRect/>
                    </a:stretch>
                  </pic:blipFill>
                  <pic:spPr>
                    <a:xfrm>
                      <a:off x="0" y="0"/>
                      <a:ext cx="9277350" cy="2076450"/>
                    </a:xfrm>
                    <a:prstGeom prst="rect">
                      <a:avLst/>
                    </a:prstGeom>
                  </pic:spPr>
                </pic:pic>
              </a:graphicData>
            </a:graphic>
          </wp:inline>
        </w:drawing>
      </w:r>
    </w:p>
    <w:p w14:paraId="3BC0B100" w14:textId="04B8E4E3" w:rsidR="00197C2B" w:rsidRDefault="00197C2B" w:rsidP="00FC0002">
      <w:pPr>
        <w:pStyle w:val="Titre4"/>
      </w:pPr>
      <w:r>
        <w:t>Pour le gérant associé</w:t>
      </w:r>
    </w:p>
    <w:p w14:paraId="6A532A0F" w14:textId="77777777" w:rsidR="00197C2B" w:rsidRDefault="00197C2B" w:rsidP="00FC0002">
      <w:pPr>
        <w:pStyle w:val="CGPC-elearning"/>
        <w:rPr>
          <w:rFonts w:ascii="Times New Roman" w:hAnsi="Times New Roman" w:cs="Times New Roman"/>
        </w:rPr>
      </w:pPr>
      <w:r>
        <w:t>La rémunération versée au gérant associé d’une SCI à l’IR n’est pas déductible du résultat fiscal de la SCI. Les sommes perçues au titre du mandat de gérant sont considérées comme des prélèvements sur le résultat de la SCI.</w:t>
      </w:r>
    </w:p>
    <w:p w14:paraId="13817238" w14:textId="77777777" w:rsidR="00197C2B" w:rsidRDefault="00197C2B" w:rsidP="00FC0002">
      <w:pPr>
        <w:pStyle w:val="CGPC-elearning"/>
      </w:pPr>
      <w:r>
        <w:t>La rémunération perçue est soumise à l’impôt sur les revenus, dans la catégorie correspondant à la nature de l’activité de la société :</w:t>
      </w:r>
    </w:p>
    <w:p w14:paraId="68078FFB" w14:textId="24BE3488" w:rsidR="00197C2B" w:rsidRDefault="00FA49CD" w:rsidP="00FC0002">
      <w:pPr>
        <w:pStyle w:val="CGPC-elearning"/>
      </w:pPr>
      <w:r>
        <w:t xml:space="preserve">- </w:t>
      </w:r>
      <w:r w:rsidR="00197C2B">
        <w:t>dans le cas d’une SCI à l’IR dont l’activité est la location et la gestion d’immeubles nus, le dirigeant est imposable au titre des revenus fonciers sur sa rémunération (BOI-RFPI-CHAMP-30-20, § 190) ;</w:t>
      </w:r>
    </w:p>
    <w:p w14:paraId="052B6E86" w14:textId="20317438" w:rsidR="00197C2B" w:rsidRDefault="00FA49CD" w:rsidP="00FC0002">
      <w:pPr>
        <w:pStyle w:val="CGPC-elearning"/>
      </w:pPr>
      <w:r>
        <w:t xml:space="preserve">- </w:t>
      </w:r>
      <w:r w:rsidR="00197C2B">
        <w:t>si la SCI est soumise à l’IS sur option, la rémunération de l’associé-gérant est soumise à l’impôt sur les revenus dans la catégorie des revenus des associés et gérants selon l’article 62 du Code général des impôts ;</w:t>
      </w:r>
    </w:p>
    <w:p w14:paraId="6E3BB217" w14:textId="24444FE7" w:rsidR="00197C2B" w:rsidRDefault="00FA49CD" w:rsidP="00FC0002">
      <w:pPr>
        <w:pStyle w:val="CGPC-elearning"/>
      </w:pPr>
      <w:r>
        <w:lastRenderedPageBreak/>
        <w:t xml:space="preserve">- </w:t>
      </w:r>
      <w:r w:rsidR="00197C2B">
        <w:t>si la SCI relève de l’IS de plein droit en raison du caractère commercial de l’activité, le gérant personne physique sera imposé à l’IR dans la catégorie des bénéfices non commerciaux (BNC).</w:t>
      </w:r>
    </w:p>
    <w:p w14:paraId="032C0B07" w14:textId="77777777" w:rsidR="00197C2B" w:rsidRDefault="00197C2B" w:rsidP="00FC0002">
      <w:pPr>
        <w:pStyle w:val="CGPC-elearning"/>
      </w:pPr>
      <w:r>
        <w:t>Il faut cependant que les fonctions de gérant ne soient pas une simple extension de l’activité industrielle ou commerciale. Ces rémunérations ne doivent pas excéder la rétribution normale des fonctions effectivement exercées.</w:t>
      </w:r>
    </w:p>
    <w:p w14:paraId="06865282" w14:textId="35D50CBD" w:rsidR="003533E4" w:rsidRDefault="003533E4" w:rsidP="001E78C4">
      <w:pPr>
        <w:pStyle w:val="CGPC-elearning"/>
        <w:jc w:val="center"/>
      </w:pPr>
      <w:r>
        <w:rPr>
          <w:noProof/>
        </w:rPr>
        <w:drawing>
          <wp:inline distT="0" distB="0" distL="0" distR="0" wp14:anchorId="49566D3A" wp14:editId="610BDE83">
            <wp:extent cx="6419850" cy="6819900"/>
            <wp:effectExtent l="0" t="0" r="0" b="0"/>
            <wp:docPr id="1185265759" name="Image 11" descr="Une image contenant texte, capture d’écran, Police, conce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65759" name="Image 11" descr="Une image contenant texte, capture d’écran, Police, conception"/>
                    <pic:cNvPicPr/>
                  </pic:nvPicPr>
                  <pic:blipFill>
                    <a:blip r:embed="rId21">
                      <a:extLst>
                        <a:ext uri="{28A0092B-C50C-407E-A947-70E740481C1C}">
                          <a14:useLocalDpi xmlns:a14="http://schemas.microsoft.com/office/drawing/2010/main" val="0"/>
                        </a:ext>
                      </a:extLst>
                    </a:blip>
                    <a:stretch>
                      <a:fillRect/>
                    </a:stretch>
                  </pic:blipFill>
                  <pic:spPr>
                    <a:xfrm>
                      <a:off x="0" y="0"/>
                      <a:ext cx="6419850" cy="6819900"/>
                    </a:xfrm>
                    <a:prstGeom prst="rect">
                      <a:avLst/>
                    </a:prstGeom>
                  </pic:spPr>
                </pic:pic>
              </a:graphicData>
            </a:graphic>
          </wp:inline>
        </w:drawing>
      </w:r>
    </w:p>
    <w:p w14:paraId="58D9A481" w14:textId="77777777" w:rsidR="00944089" w:rsidRDefault="00944089" w:rsidP="00FC0002">
      <w:pPr>
        <w:pStyle w:val="CGPC-elearning"/>
      </w:pPr>
    </w:p>
    <w:p w14:paraId="12B88548" w14:textId="77777777" w:rsidR="00FA49CD" w:rsidRDefault="00FA49CD" w:rsidP="00FC0002">
      <w:pPr>
        <w:pStyle w:val="CGPC-elearning"/>
        <w:rPr>
          <w:rStyle w:val="Accentuation"/>
          <w:sz w:val="18"/>
          <w:szCs w:val="18"/>
        </w:rPr>
      </w:pPr>
    </w:p>
    <w:p w14:paraId="4BAFC9F5" w14:textId="77777777" w:rsidR="00197C2B" w:rsidRDefault="00197C2B" w:rsidP="00744C46">
      <w:pPr>
        <w:jc w:val="left"/>
        <w:rPr>
          <w:rStyle w:val="Accentuation"/>
          <w:sz w:val="18"/>
          <w:szCs w:val="18"/>
        </w:rPr>
      </w:pPr>
      <w:r>
        <w:rPr>
          <w:rStyle w:val="Accentuation"/>
          <w:sz w:val="18"/>
          <w:szCs w:val="18"/>
        </w:rPr>
        <w:lastRenderedPageBreak/>
        <w:t xml:space="preserve">Tableau récapitulatif des régimes d’imposition applicables aux rémunérations des associés et dirigeants de sociétés selon </w:t>
      </w:r>
      <w:proofErr w:type="spellStart"/>
      <w:r>
        <w:rPr>
          <w:rStyle w:val="Accentuation"/>
          <w:sz w:val="18"/>
          <w:szCs w:val="18"/>
        </w:rPr>
        <w:t>Bofip</w:t>
      </w:r>
      <w:proofErr w:type="spellEnd"/>
      <w:r>
        <w:rPr>
          <w:rStyle w:val="Accentuation"/>
          <w:sz w:val="18"/>
          <w:szCs w:val="18"/>
        </w:rPr>
        <w:t xml:space="preserve"> (BOI-ANNX-000067)</w:t>
      </w:r>
    </w:p>
    <w:p w14:paraId="111ED031" w14:textId="77777777" w:rsidR="00744C46" w:rsidRPr="00744C46" w:rsidRDefault="00744C46" w:rsidP="00FC0002">
      <w:pPr>
        <w:pStyle w:val="CGPC-elearning"/>
      </w:pPr>
    </w:p>
    <w:p w14:paraId="31E3A19C" w14:textId="51696B4C" w:rsidR="00197C2B" w:rsidRDefault="00197C2B" w:rsidP="003533E4">
      <w:pPr>
        <w:pStyle w:val="NormalWeb"/>
        <w:spacing w:before="0" w:beforeAutospacing="0" w:after="0" w:afterAutospacing="0"/>
        <w:textAlignment w:val="baseline"/>
        <w:rPr>
          <w:sz w:val="21"/>
          <w:szCs w:val="21"/>
        </w:rPr>
      </w:pPr>
      <w:r>
        <w:rPr>
          <w:noProof/>
          <w:sz w:val="21"/>
          <w:szCs w:val="21"/>
        </w:rPr>
        <w:drawing>
          <wp:anchor distT="0" distB="0" distL="114300" distR="114300" simplePos="0" relativeHeight="251651072" behindDoc="0" locked="0" layoutInCell="1" allowOverlap="1" wp14:anchorId="49EB273B" wp14:editId="28783ACF">
            <wp:simplePos x="0" y="0"/>
            <wp:positionH relativeFrom="column">
              <wp:posOffset>0</wp:posOffset>
            </wp:positionH>
            <wp:positionV relativeFrom="paragraph">
              <wp:posOffset>-1905</wp:posOffset>
            </wp:positionV>
            <wp:extent cx="6664960" cy="8222615"/>
            <wp:effectExtent l="0" t="0" r="2540" b="6985"/>
            <wp:wrapSquare wrapText="bothSides"/>
            <wp:docPr id="1700999215"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664960" cy="8222615"/>
                    </a:xfrm>
                    <a:prstGeom prst="rect">
                      <a:avLst/>
                    </a:prstGeom>
                    <a:noFill/>
                    <a:ln>
                      <a:noFill/>
                    </a:ln>
                  </pic:spPr>
                </pic:pic>
              </a:graphicData>
            </a:graphic>
          </wp:anchor>
        </w:drawing>
      </w:r>
    </w:p>
    <w:p w14:paraId="04BBB3D8" w14:textId="77777777" w:rsidR="00197C2B" w:rsidRPr="00483641" w:rsidRDefault="00197C2B" w:rsidP="00FC0002">
      <w:pPr>
        <w:pStyle w:val="CGPC-elearning"/>
        <w:rPr>
          <w:rStyle w:val="Accentuation"/>
          <w:sz w:val="19"/>
          <w:szCs w:val="21"/>
        </w:rPr>
      </w:pPr>
      <w:r w:rsidRPr="00483641">
        <w:rPr>
          <w:rStyle w:val="Accentuation"/>
          <w:sz w:val="19"/>
          <w:szCs w:val="21"/>
        </w:rPr>
        <w:t>TS : catégorie des traitements et salaires.</w:t>
      </w:r>
      <w:r w:rsidRPr="00483641">
        <w:rPr>
          <w:sz w:val="22"/>
          <w:bdr w:val="none" w:sz="0" w:space="0" w:color="auto" w:frame="1"/>
        </w:rPr>
        <w:br/>
      </w:r>
      <w:r w:rsidRPr="00483641">
        <w:rPr>
          <w:rStyle w:val="Accentuation"/>
          <w:sz w:val="19"/>
          <w:szCs w:val="21"/>
        </w:rPr>
        <w:t>RCM : catégorie des revenus de capitaux mobiliers.</w:t>
      </w:r>
      <w:r w:rsidRPr="00483641">
        <w:rPr>
          <w:sz w:val="22"/>
          <w:bdr w:val="none" w:sz="0" w:space="0" w:color="auto" w:frame="1"/>
        </w:rPr>
        <w:br/>
      </w:r>
      <w:r w:rsidRPr="00483641">
        <w:rPr>
          <w:rStyle w:val="Accentuation"/>
          <w:sz w:val="19"/>
          <w:szCs w:val="21"/>
        </w:rPr>
        <w:t>BNC : catégorie des bénéfices non commerciaux.</w:t>
      </w:r>
      <w:r w:rsidRPr="00483641">
        <w:rPr>
          <w:sz w:val="22"/>
          <w:bdr w:val="none" w:sz="0" w:space="0" w:color="auto" w:frame="1"/>
        </w:rPr>
        <w:br/>
      </w:r>
      <w:r w:rsidRPr="00483641">
        <w:rPr>
          <w:rStyle w:val="Accentuation"/>
          <w:sz w:val="19"/>
          <w:szCs w:val="21"/>
        </w:rPr>
        <w:t>BIC : catégorie des bénéfices industriels et commerciaux.</w:t>
      </w:r>
      <w:r w:rsidRPr="00483641">
        <w:rPr>
          <w:sz w:val="22"/>
          <w:bdr w:val="none" w:sz="0" w:space="0" w:color="auto" w:frame="1"/>
        </w:rPr>
        <w:br/>
      </w:r>
      <w:r w:rsidRPr="00483641">
        <w:rPr>
          <w:rStyle w:val="Accentuation"/>
          <w:sz w:val="19"/>
          <w:szCs w:val="21"/>
        </w:rPr>
        <w:t>BA : catégorie des bénéfices agricoles.</w:t>
      </w:r>
      <w:r w:rsidRPr="00483641">
        <w:rPr>
          <w:sz w:val="22"/>
          <w:bdr w:val="none" w:sz="0" w:space="0" w:color="auto" w:frame="1"/>
        </w:rPr>
        <w:br/>
      </w:r>
      <w:r w:rsidRPr="00483641">
        <w:rPr>
          <w:rStyle w:val="Accentuation"/>
          <w:sz w:val="19"/>
          <w:szCs w:val="21"/>
        </w:rPr>
        <w:t>RF : catégorie des revenus fonciers.</w:t>
      </w:r>
    </w:p>
    <w:p w14:paraId="0AE97033" w14:textId="271332F1" w:rsidR="007F2091" w:rsidRDefault="007F2091">
      <w:pPr>
        <w:jc w:val="left"/>
        <w:rPr>
          <w:rStyle w:val="Accentuation"/>
          <w:rFonts w:cs="Open Sans"/>
          <w:bCs/>
          <w:kern w:val="2"/>
          <w:sz w:val="21"/>
          <w:szCs w:val="21"/>
          <w14:ligatures w14:val="standardContextual"/>
        </w:rPr>
      </w:pPr>
      <w:r>
        <w:rPr>
          <w:rStyle w:val="Accentuation"/>
          <w:sz w:val="21"/>
          <w:szCs w:val="21"/>
        </w:rPr>
        <w:br w:type="page"/>
      </w:r>
    </w:p>
    <w:p w14:paraId="7233878F" w14:textId="4E3DB46F" w:rsidR="001E78C4" w:rsidRDefault="001E78C4" w:rsidP="001E78C4">
      <w:r>
        <w:rPr>
          <w:noProof/>
          <w14:ligatures w14:val="standardContextual"/>
        </w:rPr>
        <w:lastRenderedPageBreak/>
        <mc:AlternateContent>
          <mc:Choice Requires="wps">
            <w:drawing>
              <wp:anchor distT="0" distB="0" distL="114300" distR="114300" simplePos="0" relativeHeight="251664384" behindDoc="1" locked="0" layoutInCell="1" allowOverlap="1" wp14:anchorId="303FD633" wp14:editId="68AC80A0">
                <wp:simplePos x="0" y="0"/>
                <wp:positionH relativeFrom="column">
                  <wp:posOffset>-914400</wp:posOffset>
                </wp:positionH>
                <wp:positionV relativeFrom="paragraph">
                  <wp:posOffset>-895350</wp:posOffset>
                </wp:positionV>
                <wp:extent cx="15354300" cy="10763250"/>
                <wp:effectExtent l="0" t="0" r="19050" b="19050"/>
                <wp:wrapNone/>
                <wp:docPr id="1870346736" name="Rectangle 6"/>
                <wp:cNvGraphicFramePr/>
                <a:graphic xmlns:a="http://schemas.openxmlformats.org/drawingml/2006/main">
                  <a:graphicData uri="http://schemas.microsoft.com/office/word/2010/wordprocessingShape">
                    <wps:wsp>
                      <wps:cNvSpPr/>
                      <wps:spPr>
                        <a:xfrm>
                          <a:off x="0" y="0"/>
                          <a:ext cx="15354300" cy="1076325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F7366B8" id="Rectangle 6" o:spid="_x0000_s1026" style="position:absolute;margin-left:-1in;margin-top:-70.5pt;width:1209pt;height:847.5pt;z-index:-251652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" fillcolor="#4472c4 [3204]" strokecolor="#09101d [484]" strokeweight="1pt"/>
            </w:pict>
          </mc:Fallback>
        </mc:AlternateContent>
      </w:r>
    </w:p>
    <w:p w14:paraId="00AF82DA" w14:textId="77777777" w:rsidR="001E78C4" w:rsidRDefault="001E78C4" w:rsidP="001E78C4"/>
    <w:p w14:paraId="53315B14" w14:textId="77777777" w:rsidR="001E78C4" w:rsidRDefault="001E78C4" w:rsidP="001E78C4"/>
    <w:p w14:paraId="6FB07439" w14:textId="77777777" w:rsidR="001E78C4" w:rsidRDefault="001E78C4" w:rsidP="001E78C4"/>
    <w:p w14:paraId="23472517" w14:textId="77777777" w:rsidR="001E78C4" w:rsidRDefault="001E78C4" w:rsidP="001E78C4"/>
    <w:p w14:paraId="2B50488F" w14:textId="77777777" w:rsidR="001E78C4" w:rsidRDefault="001E78C4" w:rsidP="001E78C4"/>
    <w:p w14:paraId="0A3742A1" w14:textId="77777777" w:rsidR="001E78C4" w:rsidRDefault="001E78C4" w:rsidP="001E78C4"/>
    <w:p w14:paraId="004BB406" w14:textId="77777777" w:rsidR="001E78C4" w:rsidRDefault="001E78C4" w:rsidP="001E78C4"/>
    <w:p w14:paraId="5F8E22CA" w14:textId="77777777" w:rsidR="001E78C4" w:rsidRDefault="001E78C4" w:rsidP="001E78C4"/>
    <w:p w14:paraId="2FEF149A" w14:textId="73460080" w:rsidR="00744C46" w:rsidRPr="001E78C4" w:rsidRDefault="00197C2B" w:rsidP="001E78C4">
      <w:pPr>
        <w:pStyle w:val="Titre2"/>
      </w:pPr>
      <w:bookmarkStart w:id="4" w:name="_Toc186712241"/>
      <w:r w:rsidRPr="001E78C4">
        <w:t>Le régime fiscal des rémunérations indirectes du dirigeant</w:t>
      </w:r>
      <w:bookmarkEnd w:id="4"/>
    </w:p>
    <w:p w14:paraId="6ABB0274" w14:textId="77777777" w:rsidR="00744C46" w:rsidRDefault="00744C46" w:rsidP="00FC0002">
      <w:pPr>
        <w:pStyle w:val="CGPC-elearning"/>
        <w:rPr>
          <w:rFonts w:eastAsiaTheme="majorEastAsia"/>
          <w:color w:val="3A5D9C"/>
          <w:sz w:val="48"/>
          <w:szCs w:val="26"/>
          <w:bdr w:val="none" w:sz="0" w:space="0" w:color="auto" w:frame="1"/>
        </w:rPr>
      </w:pPr>
      <w:r>
        <w:br w:type="page"/>
      </w:r>
    </w:p>
    <w:p w14:paraId="4B3BAA8B" w14:textId="77777777" w:rsidR="00197C2B" w:rsidRPr="00744C46" w:rsidRDefault="00197C2B" w:rsidP="00744C46"/>
    <w:p w14:paraId="01F61517" w14:textId="5ABC9AEB" w:rsidR="00744C46" w:rsidRDefault="00197C2B" w:rsidP="00744C46">
      <w:pPr>
        <w:pStyle w:val="NormalWeb"/>
        <w:spacing w:before="0" w:beforeAutospacing="0" w:after="0" w:afterAutospacing="0"/>
        <w:jc w:val="center"/>
        <w:textAlignment w:val="baseline"/>
        <w:rPr>
          <w:sz w:val="21"/>
          <w:szCs w:val="21"/>
        </w:rPr>
      </w:pPr>
      <w:r>
        <w:rPr>
          <w:noProof/>
          <w:sz w:val="21"/>
          <w:szCs w:val="21"/>
        </w:rPr>
        <w:drawing>
          <wp:inline distT="0" distB="0" distL="0" distR="0" wp14:anchorId="5D4CDCDF" wp14:editId="7F62FBDC">
            <wp:extent cx="12197708" cy="6873765"/>
            <wp:effectExtent l="533400" t="457200" r="795020" b="803910"/>
            <wp:docPr id="539859379"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2201536" cy="6875922"/>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109013D9" w14:textId="77777777" w:rsidR="00744C46" w:rsidRDefault="00744C46" w:rsidP="00FC0002">
      <w:pPr>
        <w:pStyle w:val="CGPC-elearning"/>
        <w:rPr>
          <w:rFonts w:ascii="Times New Roman" w:eastAsia="Times New Roman" w:hAnsi="Times New Roman" w:cs="Times New Roman"/>
          <w:lang w:eastAsia="fr-FR"/>
        </w:rPr>
      </w:pPr>
      <w:r>
        <w:br w:type="page"/>
      </w:r>
    </w:p>
    <w:p w14:paraId="52B09122" w14:textId="77777777" w:rsidR="00197C2B" w:rsidRDefault="00197C2B" w:rsidP="00197C2B">
      <w:pPr>
        <w:pStyle w:val="NormalWeb"/>
        <w:spacing w:before="0" w:beforeAutospacing="0" w:after="0" w:afterAutospacing="0"/>
        <w:textAlignment w:val="baseline"/>
        <w:rPr>
          <w:sz w:val="21"/>
          <w:szCs w:val="21"/>
        </w:rPr>
      </w:pPr>
    </w:p>
    <w:p w14:paraId="5893CF39" w14:textId="02894FFC" w:rsidR="00197C2B" w:rsidRPr="00B42E87" w:rsidRDefault="00197C2B" w:rsidP="00FC0002">
      <w:pPr>
        <w:pStyle w:val="Titre3"/>
        <w:numPr>
          <w:ilvl w:val="0"/>
          <w:numId w:val="10"/>
        </w:numPr>
      </w:pPr>
      <w:bookmarkStart w:id="5" w:name="_Toc186712242"/>
      <w:r w:rsidRPr="00B42E87">
        <w:t>La rémunération du compte courant d’associé</w:t>
      </w:r>
      <w:bookmarkEnd w:id="5"/>
    </w:p>
    <w:p w14:paraId="4976AB1C" w14:textId="77777777" w:rsidR="000A60F2" w:rsidRDefault="000A60F2" w:rsidP="00197C2B">
      <w:pPr>
        <w:pStyle w:val="NormalWeb"/>
        <w:spacing w:before="0" w:beforeAutospacing="0" w:after="0" w:afterAutospacing="0"/>
        <w:jc w:val="both"/>
        <w:textAlignment w:val="baseline"/>
        <w:rPr>
          <w:sz w:val="21"/>
          <w:szCs w:val="21"/>
        </w:rPr>
      </w:pPr>
    </w:p>
    <w:p w14:paraId="3CCF6F77" w14:textId="77777777" w:rsidR="001E78C4" w:rsidRDefault="001E78C4" w:rsidP="00FC0002">
      <w:pPr>
        <w:pStyle w:val="CGPC-elearning"/>
        <w:sectPr w:rsidR="001E78C4" w:rsidSect="00BF6145">
          <w:type w:val="continuous"/>
          <w:pgSz w:w="23811" w:h="16838" w:orient="landscape" w:code="8"/>
          <w:pgMar w:top="1440" w:right="1440" w:bottom="1440" w:left="1440" w:header="720" w:footer="720" w:gutter="0"/>
          <w:pgNumType w:start="0"/>
          <w:cols w:space="720"/>
          <w:titlePg/>
          <w:docGrid w:linePitch="360"/>
        </w:sectPr>
      </w:pPr>
    </w:p>
    <w:p w14:paraId="4912DF0A" w14:textId="77777777" w:rsidR="00E31B12" w:rsidRDefault="00197C2B" w:rsidP="00FC0002">
      <w:pPr>
        <w:pStyle w:val="CGPC-elearning"/>
      </w:pPr>
      <w:r>
        <w:t xml:space="preserve">Les comptes courants d’associés désignent des avances consenties par les associés, en plus de leurs apports, soit par le versement de fonds à la société, soit par la mise à disposition de cette dernière de sommes qu’ils renoncent temporairement à percevoir (dividendes, jetons de présence). </w:t>
      </w:r>
      <w:r w:rsidR="00E31B12">
        <w:br/>
      </w:r>
    </w:p>
    <w:p w14:paraId="39819C92" w14:textId="74036C5B" w:rsidR="00197C2B" w:rsidRDefault="00197C2B" w:rsidP="00FC0002">
      <w:pPr>
        <w:pStyle w:val="CGPC-elearning"/>
        <w:rPr>
          <w:rFonts w:ascii="Times New Roman" w:hAnsi="Times New Roman" w:cs="Times New Roman"/>
        </w:rPr>
      </w:pPr>
      <w:r>
        <w:t>Ces « avances en compte courant » représentent parfois des sommes considérables et constituent pour les sociétés une source de financement plus souple qu’une augmentation de capital ou le recours à un emprunt bancaire.</w:t>
      </w:r>
    </w:p>
    <w:p w14:paraId="3C6055DF" w14:textId="77777777" w:rsidR="00197C2B" w:rsidRDefault="00197C2B" w:rsidP="00FC0002">
      <w:pPr>
        <w:pStyle w:val="CGPC-elearning"/>
      </w:pPr>
      <w:r>
        <w:t xml:space="preserve">Sous réserve que des dispositions contractuelles ou statutaires le prévoient expressément, ils donnent lieu au versement d’intérêts. Ils peuvent ainsi constituer une source de revenus pour le dirigeant associé. À </w:t>
      </w:r>
      <w:r>
        <w:t>l’inverse, ils représentent une dépense que la société a la possibilité de déduire de ses bénéfices, ce qui n’est pas possible lorsque des dividendes sont distribués.</w:t>
      </w:r>
    </w:p>
    <w:p w14:paraId="56CB14C4" w14:textId="77777777" w:rsidR="00197C2B" w:rsidRDefault="00197C2B" w:rsidP="00FC0002">
      <w:pPr>
        <w:pStyle w:val="CGPC-elearning"/>
      </w:pPr>
      <w:r>
        <w:t>Les personnes autorisées à consentir des avances en compte courant sont les suivantes :</w:t>
      </w:r>
    </w:p>
    <w:p w14:paraId="47E88B5A" w14:textId="56890270" w:rsidR="00197C2B" w:rsidRDefault="00E31B12" w:rsidP="00FC0002">
      <w:pPr>
        <w:pStyle w:val="CGPC-elearning"/>
      </w:pPr>
      <w:r>
        <w:t xml:space="preserve">- Les </w:t>
      </w:r>
      <w:r w:rsidR="00197C2B">
        <w:t>associés ;</w:t>
      </w:r>
    </w:p>
    <w:p w14:paraId="3F36E7F8" w14:textId="612F5A5A" w:rsidR="00197C2B" w:rsidRDefault="00E31B12" w:rsidP="00FC0002">
      <w:pPr>
        <w:pStyle w:val="CGPC-elearning"/>
      </w:pPr>
      <w:r>
        <w:t xml:space="preserve">- Les </w:t>
      </w:r>
      <w:r w:rsidR="00197C2B">
        <w:t>actionnaires ;</w:t>
      </w:r>
    </w:p>
    <w:p w14:paraId="386DDAA1" w14:textId="4AE77598" w:rsidR="00197C2B" w:rsidRDefault="00E31B12" w:rsidP="00FC0002">
      <w:pPr>
        <w:pStyle w:val="CGPC-elearning"/>
      </w:pPr>
      <w:r>
        <w:t>- Les d</w:t>
      </w:r>
      <w:r w:rsidR="00197C2B">
        <w:t>irigeants : gérant, directeur général, membre du directoire ou du conseil d’administration (CA), directeur général, directeur général délégué, président de SAS par exemple.</w:t>
      </w:r>
    </w:p>
    <w:p w14:paraId="7CF3ECF0" w14:textId="77777777" w:rsidR="001E78C4" w:rsidRDefault="001E78C4" w:rsidP="00FC0002">
      <w:pPr>
        <w:pStyle w:val="CGPC-elearning"/>
        <w:sectPr w:rsidR="001E78C4" w:rsidSect="001E78C4">
          <w:type w:val="continuous"/>
          <w:pgSz w:w="23811" w:h="16838" w:orient="landscape" w:code="8"/>
          <w:pgMar w:top="1440" w:right="1440" w:bottom="1440" w:left="1440" w:header="720" w:footer="720" w:gutter="0"/>
          <w:pgNumType w:start="0"/>
          <w:cols w:num="2" w:space="720"/>
          <w:titlePg/>
          <w:docGrid w:linePitch="360"/>
        </w:sectPr>
      </w:pPr>
    </w:p>
    <w:p w14:paraId="45823091" w14:textId="1A1F0451" w:rsidR="00253339" w:rsidRDefault="00253339" w:rsidP="001E78C4">
      <w:pPr>
        <w:pStyle w:val="CGPC-elearning"/>
        <w:jc w:val="center"/>
      </w:pPr>
      <w:r>
        <w:rPr>
          <w:noProof/>
        </w:rPr>
        <w:drawing>
          <wp:inline distT="0" distB="0" distL="0" distR="0" wp14:anchorId="32F554A5" wp14:editId="720D44DE">
            <wp:extent cx="6897838" cy="4457065"/>
            <wp:effectExtent l="0" t="0" r="0" b="635"/>
            <wp:docPr id="1279859746" name="Image 12" descr="Une image contenant texte, capture d’écran, logo,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859746" name="Image 12" descr="Une image contenant texte, capture d’écran, logo, Police"/>
                    <pic:cNvPicPr/>
                  </pic:nvPicPr>
                  <pic:blipFill>
                    <a:blip r:embed="rId24">
                      <a:extLst>
                        <a:ext uri="{28A0092B-C50C-407E-A947-70E740481C1C}">
                          <a14:useLocalDpi xmlns:a14="http://schemas.microsoft.com/office/drawing/2010/main" val="0"/>
                        </a:ext>
                      </a:extLst>
                    </a:blip>
                    <a:stretch>
                      <a:fillRect/>
                    </a:stretch>
                  </pic:blipFill>
                  <pic:spPr>
                    <a:xfrm>
                      <a:off x="0" y="0"/>
                      <a:ext cx="6899264" cy="4457986"/>
                    </a:xfrm>
                    <a:prstGeom prst="rect">
                      <a:avLst/>
                    </a:prstGeom>
                  </pic:spPr>
                </pic:pic>
              </a:graphicData>
            </a:graphic>
          </wp:inline>
        </w:drawing>
      </w:r>
    </w:p>
    <w:p w14:paraId="69691B8B" w14:textId="1626F167" w:rsidR="00197C2B" w:rsidRDefault="00197C2B" w:rsidP="00FC0002">
      <w:pPr>
        <w:pStyle w:val="CGPC-elearning"/>
      </w:pPr>
      <w:r>
        <w:rPr>
          <w:b/>
          <w:noProof/>
          <w:bdr w:val="none" w:sz="0" w:space="0" w:color="auto" w:frame="1"/>
          <w:lang w:eastAsia="fr-FR"/>
        </w:rPr>
        <w:lastRenderedPageBreak/>
        <w:drawing>
          <wp:inline distT="0" distB="0" distL="0" distR="0" wp14:anchorId="68C23A11" wp14:editId="5164769B">
            <wp:extent cx="189865" cy="189865"/>
            <wp:effectExtent l="0" t="0" r="635" b="635"/>
            <wp:docPr id="173639982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Pr>
          <w:rStyle w:val="lev"/>
          <w:i/>
          <w:iCs/>
          <w:sz w:val="21"/>
          <w:szCs w:val="21"/>
          <w:u w:val="single"/>
          <w:bdr w:val="none" w:sz="0" w:space="0" w:color="auto" w:frame="1"/>
        </w:rPr>
        <w:t>Nota :</w:t>
      </w:r>
      <w:r>
        <w:rPr>
          <w:rStyle w:val="Accentuation"/>
          <w:sz w:val="21"/>
          <w:szCs w:val="21"/>
        </w:rPr>
        <w:t> Les comptes courants permettent de rémunérer les associés, même si la société n’a pas de résultat distribuable, contrairement aux dividendes.</w:t>
      </w:r>
    </w:p>
    <w:p w14:paraId="00528129" w14:textId="77777777" w:rsidR="00197C2B" w:rsidRDefault="00197C2B" w:rsidP="00FC0002">
      <w:pPr>
        <w:pStyle w:val="CGPC-elearning"/>
      </w:pPr>
      <w:r>
        <w:t>Les conditions du fonctionnement (rémunération, remboursement…) du compte courant peuvent être fixées soit dans les statuts, soit dans une convention de compte courant d’associé.</w:t>
      </w:r>
    </w:p>
    <w:p w14:paraId="7831B751" w14:textId="77777777" w:rsidR="00197C2B" w:rsidRDefault="00197C2B" w:rsidP="00FC0002">
      <w:pPr>
        <w:pStyle w:val="CGPC-elearning"/>
      </w:pPr>
      <w:r>
        <w:t>Les intérêts versés à l’associé sont déductibles du résultat de la société, sous réserve de remplir les conditions suivantes :</w:t>
      </w:r>
    </w:p>
    <w:p w14:paraId="26528BD3" w14:textId="5669BBF5" w:rsidR="00197C2B" w:rsidRDefault="00E008CD" w:rsidP="00FC0002">
      <w:pPr>
        <w:pStyle w:val="CGPC-elearning"/>
      </w:pPr>
      <w:r>
        <w:t xml:space="preserve">- </w:t>
      </w:r>
      <w:r w:rsidR="00197C2B">
        <w:t>le capital social doit être libéré en totalité (les associés doivent avoir versé la totalité de leur apport au capital social de la société) ;</w:t>
      </w:r>
    </w:p>
    <w:p w14:paraId="47CAE702" w14:textId="2EF66B35" w:rsidR="00197C2B" w:rsidRDefault="00E008CD" w:rsidP="00FC0002">
      <w:pPr>
        <w:pStyle w:val="CGPC-elearning"/>
      </w:pPr>
      <w:r>
        <w:t xml:space="preserve">- </w:t>
      </w:r>
      <w:r w:rsidR="00197C2B">
        <w:t>le taux d’intérêt doit respecter le taux de déductibilité des intérêts fixé par l’administration</w:t>
      </w:r>
      <w:r>
        <w:t>,</w:t>
      </w:r>
      <w:r w:rsidR="00197C2B">
        <w:t xml:space="preserve"> soit par exemple :</w:t>
      </w:r>
    </w:p>
    <w:p w14:paraId="4E0D0AE5" w14:textId="77777777" w:rsidR="00197C2B" w:rsidRDefault="00197C2B" w:rsidP="00FC0002">
      <w:pPr>
        <w:pStyle w:val="CGPC-elearning"/>
      </w:pPr>
      <w:r>
        <w:t>1,49 % pour des intérêts versés au cours d’exercices de douze mois clos du 31 août 2022 au 29 septembre 2022 inclusivement (BOI-BIC-CHG-50-50-30).</w:t>
      </w:r>
    </w:p>
    <w:p w14:paraId="6567E4DB" w14:textId="405378C4" w:rsidR="00197C2B" w:rsidRDefault="00197C2B" w:rsidP="00FC0002">
      <w:pPr>
        <w:pStyle w:val="CGPC-elearning"/>
      </w:pPr>
      <w:r>
        <w:rPr>
          <w:b/>
          <w:noProof/>
          <w:bdr w:val="none" w:sz="0" w:space="0" w:color="auto" w:frame="1"/>
          <w:lang w:eastAsia="fr-FR"/>
        </w:rPr>
        <w:drawing>
          <wp:inline distT="0" distB="0" distL="0" distR="0" wp14:anchorId="7E3A7CF5" wp14:editId="00686767">
            <wp:extent cx="189865" cy="189865"/>
            <wp:effectExtent l="0" t="0" r="635" b="635"/>
            <wp:docPr id="98406803"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Pr>
          <w:rStyle w:val="lev"/>
          <w:i/>
          <w:iCs/>
          <w:sz w:val="21"/>
          <w:szCs w:val="21"/>
          <w:u w:val="single"/>
          <w:bdr w:val="none" w:sz="0" w:space="0" w:color="auto" w:frame="1"/>
        </w:rPr>
        <w:t>Nota :</w:t>
      </w:r>
      <w:r>
        <w:rPr>
          <w:rStyle w:val="Accentuation"/>
          <w:sz w:val="21"/>
          <w:szCs w:val="21"/>
        </w:rPr>
        <w:t>si l’entreprise retient un taux plus élevé, la part qui dépasse le taux fixé par l’administration n’est pas déductible fiscalement.</w:t>
      </w:r>
    </w:p>
    <w:p w14:paraId="5DC39473" w14:textId="77777777" w:rsidR="00197C2B" w:rsidRDefault="00197C2B" w:rsidP="00FC0002">
      <w:pPr>
        <w:pStyle w:val="CGPC-elearning"/>
      </w:pPr>
      <w:r>
        <w:t>Les intérêts déductibles pour la société sont imposés entre les mains du dirigeant associé. L’impôt est exigible dès le paiement des intérêts ou de leur inscription en compte. Les associés sont réputés avoir connaissance des inscriptions en compte. Les intérêts versés sont des revenus de capitaux mobiliers. Ils sont soumis à un prélèvement forfaitaire unique de 12,80 % (auquel il faut ajouter 17,20 % au titre des prélèvements sociaux). Il est toutefois possible pour l’associé d’opter pour leur imposition au barème progressif de l’impôt sur le revenu, auquel cas un acompte sera prélevé par le payeur.</w:t>
      </w:r>
    </w:p>
    <w:p w14:paraId="3322F963" w14:textId="77777777" w:rsidR="00197C2B" w:rsidRDefault="00197C2B" w:rsidP="00197C2B">
      <w:pPr>
        <w:pStyle w:val="NormalWeb"/>
        <w:spacing w:before="0" w:beforeAutospacing="0" w:after="0" w:afterAutospacing="0"/>
        <w:textAlignment w:val="baseline"/>
        <w:rPr>
          <w:sz w:val="21"/>
          <w:szCs w:val="21"/>
        </w:rPr>
      </w:pPr>
      <w:r>
        <w:rPr>
          <w:rStyle w:val="Accentuation"/>
          <w:sz w:val="21"/>
          <w:szCs w:val="21"/>
        </w:rPr>
        <w:t> </w:t>
      </w:r>
    </w:p>
    <w:p w14:paraId="5FC61D3C" w14:textId="3CEFEBBC" w:rsidR="00197C2B" w:rsidRDefault="00E008CD" w:rsidP="00FC0002">
      <w:pPr>
        <w:pStyle w:val="Titre3"/>
        <w:rPr>
          <w:szCs w:val="36"/>
        </w:rPr>
      </w:pPr>
      <w:bookmarkStart w:id="6" w:name="_Toc186712243"/>
      <w:r>
        <w:t>L’a</w:t>
      </w:r>
      <w:r w:rsidR="00197C2B">
        <w:t>vantage en nature : complément de rémunération du dirigeant</w:t>
      </w:r>
      <w:bookmarkEnd w:id="6"/>
    </w:p>
    <w:p w14:paraId="4E5C7192" w14:textId="16AB395A" w:rsidR="00197C2B" w:rsidRPr="00B42E87" w:rsidRDefault="00197C2B" w:rsidP="00FC0002">
      <w:pPr>
        <w:pStyle w:val="Titre4"/>
        <w:numPr>
          <w:ilvl w:val="0"/>
          <w:numId w:val="13"/>
        </w:numPr>
      </w:pPr>
      <w:r w:rsidRPr="00B42E87">
        <w:t>Qu’est-ce qu’un avantage en nature ?</w:t>
      </w:r>
    </w:p>
    <w:p w14:paraId="4B7DC1A9" w14:textId="77777777" w:rsidR="00197C2B" w:rsidRDefault="00197C2B" w:rsidP="00FC0002">
      <w:pPr>
        <w:pStyle w:val="CGPC-elearning"/>
        <w:rPr>
          <w:rFonts w:ascii="Times New Roman" w:hAnsi="Times New Roman" w:cs="Times New Roman"/>
        </w:rPr>
      </w:pPr>
      <w:r>
        <w:t>Le dirigeant de société bénéficie d’un avantage en nature quand son entreprise lui permet de réaliser une économie en prenant à sa charge certaines de ses dépenses personnelles :</w:t>
      </w:r>
    </w:p>
    <w:p w14:paraId="327B3F25" w14:textId="77777777" w:rsidR="00197C2B" w:rsidRDefault="00197C2B" w:rsidP="00FC0002">
      <w:pPr>
        <w:pStyle w:val="CGPC-elearning"/>
      </w:pPr>
      <w:r>
        <w:t>le dirigeant utilise gratuitement à des fins privées un bien de la société (véhicule de fonction, téléphone portable, ordinateur) ;</w:t>
      </w:r>
    </w:p>
    <w:p w14:paraId="3D32449C" w14:textId="77777777" w:rsidR="00197C2B" w:rsidRDefault="00197C2B" w:rsidP="00FC0002">
      <w:pPr>
        <w:pStyle w:val="CGPC-elearning"/>
      </w:pPr>
      <w:r>
        <w:t>la société supporte des frais qui auraient normalement incombé au dirigeant (voyage, notes personnelles de restaurant ou hôtel) ;</w:t>
      </w:r>
    </w:p>
    <w:p w14:paraId="4C7EEA2A" w14:textId="77777777" w:rsidR="00197C2B" w:rsidRDefault="00197C2B" w:rsidP="00FC0002">
      <w:pPr>
        <w:pStyle w:val="CGPC-elearning"/>
      </w:pPr>
      <w:r>
        <w:t>la société fait profiter au dirigeant un bien que lui-même aurait payé plus cher sur le marché (logement, nourriture, remise de produits de l’entreprise, tarifs préférentiels).</w:t>
      </w:r>
    </w:p>
    <w:p w14:paraId="56E01934" w14:textId="54B346B6" w:rsidR="006A5E91" w:rsidRDefault="006A5E91" w:rsidP="001E78C4">
      <w:pPr>
        <w:pStyle w:val="CGPC-elearning"/>
        <w:jc w:val="center"/>
      </w:pPr>
      <w:r>
        <w:rPr>
          <w:noProof/>
        </w:rPr>
        <w:lastRenderedPageBreak/>
        <w:drawing>
          <wp:inline distT="0" distB="0" distL="0" distR="0" wp14:anchorId="7CACA1BC" wp14:editId="105426FC">
            <wp:extent cx="6849992" cy="3941380"/>
            <wp:effectExtent l="0" t="0" r="8255" b="2540"/>
            <wp:docPr id="1819008359" name="Image 13" descr="Une image contenant texte, carte de visite, capture d’écran,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008359" name="Image 13" descr="Une image contenant texte, carte de visite, capture d’écran, Police"/>
                    <pic:cNvPicPr/>
                  </pic:nvPicPr>
                  <pic:blipFill>
                    <a:blip r:embed="rId26">
                      <a:extLst>
                        <a:ext uri="{28A0092B-C50C-407E-A947-70E740481C1C}">
                          <a14:useLocalDpi xmlns:a14="http://schemas.microsoft.com/office/drawing/2010/main" val="0"/>
                        </a:ext>
                      </a:extLst>
                    </a:blip>
                    <a:stretch>
                      <a:fillRect/>
                    </a:stretch>
                  </pic:blipFill>
                  <pic:spPr>
                    <a:xfrm>
                      <a:off x="0" y="0"/>
                      <a:ext cx="6853053" cy="3943141"/>
                    </a:xfrm>
                    <a:prstGeom prst="rect">
                      <a:avLst/>
                    </a:prstGeom>
                  </pic:spPr>
                </pic:pic>
              </a:graphicData>
            </a:graphic>
          </wp:inline>
        </w:drawing>
      </w:r>
    </w:p>
    <w:p w14:paraId="3BEA30C3" w14:textId="3E3E8E7B" w:rsidR="00197C2B" w:rsidRDefault="00197C2B" w:rsidP="00FC0002">
      <w:pPr>
        <w:pStyle w:val="Titre4"/>
      </w:pPr>
      <w:r>
        <w:t>Le régime fiscal de l’avantage en nature</w:t>
      </w:r>
    </w:p>
    <w:p w14:paraId="225D8B13" w14:textId="6026426E" w:rsidR="00197C2B" w:rsidRDefault="00197C2B" w:rsidP="00FC0002">
      <w:pPr>
        <w:pStyle w:val="CGPC-elearning"/>
        <w:rPr>
          <w:rFonts w:ascii="Times New Roman" w:hAnsi="Times New Roman" w:cs="Times New Roman"/>
        </w:rPr>
      </w:pPr>
      <w:r>
        <w:t>Si ces avantages « correspondent à un travail effectif et ne sont pas excessifs eu égard à l’importance du service rendu » (CGI, art. 39, 1, 1°, al. 2) et s’ils sont clairement identifiés en comptabilité ou inscrits sur le relevé des frais généraux, ils constituent pour la société une dépense déductible de son résultat imposable et pour le dirigeant un complément de rémunération imposable dans la catégorie dont il relève</w:t>
      </w:r>
      <w:r w:rsidR="00E008CD">
        <w:t>.</w:t>
      </w:r>
    </w:p>
    <w:p w14:paraId="79AD1065" w14:textId="70C2930F" w:rsidR="00197C2B" w:rsidRDefault="00E008CD" w:rsidP="00FC0002">
      <w:pPr>
        <w:pStyle w:val="CGPC-elearning"/>
      </w:pPr>
      <w:r>
        <w:t>P</w:t>
      </w:r>
      <w:r w:rsidR="00197C2B">
        <w:t>our les gérants minoritaires et égalitaires de SARL ainsi que pour les dirigeants de SAS, l’avantage en nature correspondant à de la nourriture, à l’utilisation privée d’un véhicule ou l’utilisation d’outils liés aux nouvelles technologies de l’information et de la communication (NTIC) peut faire l’obje</w:t>
      </w:r>
      <w:r>
        <w:t>t d’une évaluation forfaitaire.</w:t>
      </w:r>
    </w:p>
    <w:p w14:paraId="7F5AF13E" w14:textId="0DE636F9" w:rsidR="00197C2B" w:rsidRDefault="00E008CD" w:rsidP="00FC0002">
      <w:pPr>
        <w:pStyle w:val="CGPC-elearning"/>
      </w:pPr>
      <w:r>
        <w:t>P</w:t>
      </w:r>
      <w:r w:rsidR="00197C2B">
        <w:t>our les autres dirigeants (gérant majoritaires de SARL, notamment), les avantages en nature doivent être évalués pour leur montant réel pour :</w:t>
      </w:r>
    </w:p>
    <w:p w14:paraId="5EE5CFC8" w14:textId="46B1F765" w:rsidR="00197C2B" w:rsidRDefault="00197C2B" w:rsidP="00FC0002">
      <w:pPr>
        <w:pStyle w:val="CGPC-elearning"/>
      </w:pPr>
      <w:r>
        <w:t>le logement,</w:t>
      </w:r>
    </w:p>
    <w:p w14:paraId="31611A07" w14:textId="57220D7C" w:rsidR="00197C2B" w:rsidRDefault="00197C2B" w:rsidP="00FC0002">
      <w:pPr>
        <w:pStyle w:val="CGPC-elearning"/>
      </w:pPr>
      <w:r>
        <w:t>la nourriture,</w:t>
      </w:r>
    </w:p>
    <w:p w14:paraId="7530475F" w14:textId="11F924AC" w:rsidR="00197C2B" w:rsidRDefault="00E008CD" w:rsidP="00FC0002">
      <w:pPr>
        <w:pStyle w:val="CGPC-elearning"/>
      </w:pPr>
      <w:r>
        <w:t>S</w:t>
      </w:r>
      <w:r w:rsidR="00197C2B">
        <w:t>’agissant de l’avantage en nature résultant de l’utilisation privée d’un véhicule, l’administration admet que l’entreprise puisse utiliser les forfaits prévus pour les salariés.</w:t>
      </w:r>
    </w:p>
    <w:p w14:paraId="582EF6A1" w14:textId="77777777" w:rsidR="00197C2B" w:rsidRDefault="00197C2B" w:rsidP="00FC0002">
      <w:pPr>
        <w:pStyle w:val="CGPC-elearning"/>
      </w:pPr>
      <w:r>
        <w:t>Si les avantages en nature ne sont ni identifiés en comptabilité ni inscrits sur le relevé des frais généraux, ils sont considérés comme des revenus occultes non déductibles pour la société et imposables entre les mains du dirigeant comme des revenus de capitaux mobiliers.</w:t>
      </w:r>
    </w:p>
    <w:p w14:paraId="1CB866B7" w14:textId="77777777" w:rsidR="00197C2B" w:rsidRDefault="00197C2B" w:rsidP="00FC0002">
      <w:pPr>
        <w:pStyle w:val="CGPC-elearning"/>
      </w:pPr>
      <w:r>
        <w:lastRenderedPageBreak/>
        <w:t>Les remboursements de frais ne sont pas imposés, mais les allocations forfaitaires pour frais sont considérées comme des compléments de revenus imposables. Il est donc plus avantageux pour le dirigeant de se faire rembourser sur justificatifs les frais exposés dans l’intérêt de la société.</w:t>
      </w:r>
    </w:p>
    <w:p w14:paraId="232CAC8E" w14:textId="722DCAA6" w:rsidR="003D69B1" w:rsidRDefault="003D69B1" w:rsidP="001E78C4">
      <w:pPr>
        <w:pStyle w:val="CGPC-elearning"/>
        <w:jc w:val="center"/>
      </w:pPr>
      <w:r>
        <w:rPr>
          <w:noProof/>
        </w:rPr>
        <w:drawing>
          <wp:inline distT="0" distB="0" distL="0" distR="0" wp14:anchorId="61C43EC2" wp14:editId="40780EE8">
            <wp:extent cx="8230593" cy="5505450"/>
            <wp:effectExtent l="0" t="0" r="0" b="0"/>
            <wp:docPr id="1867222752" name="Image 14" descr="Une image contenant texte, capture d’écran, logo,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222752" name="Image 14" descr="Une image contenant texte, capture d’écran, logo, Police"/>
                    <pic:cNvPicPr/>
                  </pic:nvPicPr>
                  <pic:blipFill>
                    <a:blip r:embed="rId27">
                      <a:extLst>
                        <a:ext uri="{28A0092B-C50C-407E-A947-70E740481C1C}">
                          <a14:useLocalDpi xmlns:a14="http://schemas.microsoft.com/office/drawing/2010/main" val="0"/>
                        </a:ext>
                      </a:extLst>
                    </a:blip>
                    <a:stretch>
                      <a:fillRect/>
                    </a:stretch>
                  </pic:blipFill>
                  <pic:spPr>
                    <a:xfrm>
                      <a:off x="0" y="0"/>
                      <a:ext cx="8232171" cy="5506506"/>
                    </a:xfrm>
                    <a:prstGeom prst="rect">
                      <a:avLst/>
                    </a:prstGeom>
                  </pic:spPr>
                </pic:pic>
              </a:graphicData>
            </a:graphic>
          </wp:inline>
        </w:drawing>
      </w:r>
    </w:p>
    <w:p w14:paraId="67FF7A16" w14:textId="63E680D6" w:rsidR="001E78C4" w:rsidRDefault="001E78C4">
      <w:pPr>
        <w:jc w:val="left"/>
        <w:rPr>
          <w:rFonts w:cs="Open Sans"/>
          <w:bCs/>
          <w:kern w:val="2"/>
          <w:szCs w:val="24"/>
          <w14:ligatures w14:val="standardContextual"/>
        </w:rPr>
      </w:pPr>
      <w:r>
        <w:br w:type="page"/>
      </w:r>
    </w:p>
    <w:p w14:paraId="6949475B" w14:textId="09377043" w:rsidR="00197C2B" w:rsidRDefault="00197C2B" w:rsidP="00FC0002">
      <w:pPr>
        <w:pStyle w:val="Titre4"/>
      </w:pPr>
      <w:r>
        <w:lastRenderedPageBreak/>
        <w:t>Le régime social de l’avantage en nature</w:t>
      </w:r>
    </w:p>
    <w:p w14:paraId="3B4355D6" w14:textId="54D3DC00" w:rsidR="00FC45BC" w:rsidRDefault="00197C2B" w:rsidP="00FC0002">
      <w:pPr>
        <w:pStyle w:val="CGPC-elearning"/>
      </w:pPr>
      <w:r>
        <w:t>En tant qu’éléments de rémunération, les avantages en nature sont soumis au même régime social que la partie fixe du salaire et sont donc pris en compte dans l’assiette des cotisations sociales.</w:t>
      </w:r>
    </w:p>
    <w:p w14:paraId="4985AFA4" w14:textId="77777777" w:rsidR="00055D7D" w:rsidRDefault="00055D7D" w:rsidP="00FC0002">
      <w:pPr>
        <w:pStyle w:val="CGPC-elearning"/>
      </w:pPr>
    </w:p>
    <w:p w14:paraId="5BEF8002" w14:textId="65D63ACA" w:rsidR="00055D7D" w:rsidRDefault="00055D7D" w:rsidP="001E78C4">
      <w:pPr>
        <w:pStyle w:val="CGPC-elearning"/>
        <w:jc w:val="center"/>
      </w:pPr>
      <w:r>
        <w:rPr>
          <w:noProof/>
        </w:rPr>
        <w:drawing>
          <wp:inline distT="0" distB="0" distL="0" distR="0" wp14:anchorId="669A4F0B" wp14:editId="6DCBF93D">
            <wp:extent cx="8769728" cy="5328745"/>
            <wp:effectExtent l="0" t="0" r="0" b="5715"/>
            <wp:docPr id="652501939" name="Image 15" descr="Une image contenant texte, capture d’écran, Police, dia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501939" name="Image 15" descr="Une image contenant texte, capture d’écran, Police, diagramme"/>
                    <pic:cNvPicPr/>
                  </pic:nvPicPr>
                  <pic:blipFill>
                    <a:blip r:embed="rId28">
                      <a:extLst>
                        <a:ext uri="{28A0092B-C50C-407E-A947-70E740481C1C}">
                          <a14:useLocalDpi xmlns:a14="http://schemas.microsoft.com/office/drawing/2010/main" val="0"/>
                        </a:ext>
                      </a:extLst>
                    </a:blip>
                    <a:stretch>
                      <a:fillRect/>
                    </a:stretch>
                  </pic:blipFill>
                  <pic:spPr>
                    <a:xfrm>
                      <a:off x="0" y="0"/>
                      <a:ext cx="8774651" cy="5331736"/>
                    </a:xfrm>
                    <a:prstGeom prst="rect">
                      <a:avLst/>
                    </a:prstGeom>
                  </pic:spPr>
                </pic:pic>
              </a:graphicData>
            </a:graphic>
          </wp:inline>
        </w:drawing>
      </w:r>
    </w:p>
    <w:p w14:paraId="5EABC889" w14:textId="77777777" w:rsidR="00FC45BC" w:rsidRDefault="00FC45BC" w:rsidP="00FC0002">
      <w:pPr>
        <w:pStyle w:val="CGPC-elearning"/>
      </w:pPr>
      <w:r>
        <w:br w:type="page"/>
      </w:r>
    </w:p>
    <w:p w14:paraId="6DC90BBA" w14:textId="0A04C338" w:rsidR="000A60F2" w:rsidRDefault="001B5802" w:rsidP="00FC0002">
      <w:pPr>
        <w:pStyle w:val="CGPC-elearning"/>
      </w:pPr>
      <w:r>
        <w:rPr>
          <w:noProof/>
        </w:rPr>
        <w:lastRenderedPageBreak/>
        <mc:AlternateContent>
          <mc:Choice Requires="wps">
            <w:drawing>
              <wp:anchor distT="0" distB="0" distL="114300" distR="114300" simplePos="0" relativeHeight="251665408" behindDoc="1" locked="0" layoutInCell="1" allowOverlap="1" wp14:anchorId="73C1EFCA" wp14:editId="1C80C60E">
                <wp:simplePos x="0" y="0"/>
                <wp:positionH relativeFrom="column">
                  <wp:posOffset>-895350</wp:posOffset>
                </wp:positionH>
                <wp:positionV relativeFrom="paragraph">
                  <wp:posOffset>-914400</wp:posOffset>
                </wp:positionV>
                <wp:extent cx="15125700" cy="10782300"/>
                <wp:effectExtent l="0" t="0" r="19050" b="19050"/>
                <wp:wrapNone/>
                <wp:docPr id="1026672013" name="Rectangle 7"/>
                <wp:cNvGraphicFramePr/>
                <a:graphic xmlns:a="http://schemas.openxmlformats.org/drawingml/2006/main">
                  <a:graphicData uri="http://schemas.microsoft.com/office/word/2010/wordprocessingShape">
                    <wps:wsp>
                      <wps:cNvSpPr/>
                      <wps:spPr>
                        <a:xfrm>
                          <a:off x="0" y="0"/>
                          <a:ext cx="15125700" cy="107823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2F3F0A" id="Rectangle 7" o:spid="_x0000_s1026" style="position:absolute;margin-left:-70.5pt;margin-top:-1in;width:1191pt;height:849pt;z-index:-25165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" fillcolor="#4472c4 [3204]" strokecolor="#09101d [484]" strokeweight="1pt"/>
            </w:pict>
          </mc:Fallback>
        </mc:AlternateContent>
      </w:r>
    </w:p>
    <w:p w14:paraId="6A426001" w14:textId="77777777" w:rsidR="00FC45BC" w:rsidRDefault="00FC45BC" w:rsidP="00FC0002">
      <w:pPr>
        <w:pStyle w:val="CGPC-elearning"/>
      </w:pPr>
    </w:p>
    <w:p w14:paraId="6D352C44" w14:textId="77777777" w:rsidR="00FC45BC" w:rsidRDefault="00FC45BC" w:rsidP="00FC0002">
      <w:pPr>
        <w:pStyle w:val="CGPC-elearning"/>
      </w:pPr>
    </w:p>
    <w:p w14:paraId="34D2B63E" w14:textId="77777777" w:rsidR="00FC45BC" w:rsidRDefault="00FC45BC" w:rsidP="00FC0002">
      <w:pPr>
        <w:pStyle w:val="CGPC-elearning"/>
      </w:pPr>
    </w:p>
    <w:p w14:paraId="0AFA0D40" w14:textId="77777777" w:rsidR="00FC45BC" w:rsidRDefault="00FC45BC" w:rsidP="00FC0002">
      <w:pPr>
        <w:pStyle w:val="CGPC-elearning"/>
      </w:pPr>
    </w:p>
    <w:p w14:paraId="3027915A" w14:textId="77777777" w:rsidR="00FC45BC" w:rsidRDefault="00FC45BC" w:rsidP="00FC0002">
      <w:pPr>
        <w:pStyle w:val="CGPC-elearning"/>
      </w:pPr>
    </w:p>
    <w:p w14:paraId="1E0098E7" w14:textId="77777777" w:rsidR="00E008CD" w:rsidRDefault="00E008CD" w:rsidP="00FC0002">
      <w:pPr>
        <w:pStyle w:val="CGPC-elearning"/>
      </w:pPr>
    </w:p>
    <w:p w14:paraId="17F69529" w14:textId="77777777" w:rsidR="00E008CD" w:rsidRDefault="00E008CD" w:rsidP="00FC0002">
      <w:pPr>
        <w:pStyle w:val="CGPC-elearning"/>
      </w:pPr>
    </w:p>
    <w:p w14:paraId="18C0CA21" w14:textId="77777777" w:rsidR="001B5802" w:rsidRDefault="001B5802" w:rsidP="00FC0002">
      <w:pPr>
        <w:pStyle w:val="CGPC-elearning"/>
      </w:pPr>
    </w:p>
    <w:p w14:paraId="2140BC2D" w14:textId="7D08582C" w:rsidR="00FC45BC" w:rsidRDefault="00197C2B" w:rsidP="00FC0002">
      <w:pPr>
        <w:pStyle w:val="Titre2"/>
      </w:pPr>
      <w:bookmarkStart w:id="7" w:name="_Toc186712244"/>
      <w:r>
        <w:t>Le régime fiscal des rémunérations différées</w:t>
      </w:r>
      <w:bookmarkEnd w:id="7"/>
    </w:p>
    <w:p w14:paraId="442B7D61" w14:textId="77777777" w:rsidR="00FC45BC" w:rsidRDefault="00FC45BC" w:rsidP="00FC0002">
      <w:pPr>
        <w:pStyle w:val="CGPC-elearning"/>
        <w:rPr>
          <w:rFonts w:eastAsiaTheme="majorEastAsia"/>
          <w:color w:val="3A5D9C"/>
          <w:sz w:val="48"/>
          <w:szCs w:val="26"/>
          <w:bdr w:val="none" w:sz="0" w:space="0" w:color="auto" w:frame="1"/>
        </w:rPr>
      </w:pPr>
      <w:r>
        <w:br w:type="page"/>
      </w:r>
    </w:p>
    <w:p w14:paraId="46579243" w14:textId="77777777" w:rsidR="00006107" w:rsidRDefault="00006107" w:rsidP="00FC0002">
      <w:pPr>
        <w:pStyle w:val="CGPC-elearning"/>
      </w:pPr>
      <w:r>
        <w:rPr>
          <w:noProof/>
          <w:lang w:eastAsia="fr-FR"/>
        </w:rPr>
        <w:lastRenderedPageBreak/>
        <w:drawing>
          <wp:inline distT="0" distB="0" distL="0" distR="0" wp14:anchorId="40F17827" wp14:editId="602EF21D">
            <wp:extent cx="12165472" cy="6826469"/>
            <wp:effectExtent l="533400" t="457200" r="807720" b="793750"/>
            <wp:docPr id="244458461" name="Image 13" descr="Une image contenant tirelire, intérieur, jouet, person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458461" name="Image 13" descr="Une image contenant tirelire, intérieur, jouet, personn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2197911" cy="6844672"/>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284C6670" w14:textId="77777777" w:rsidR="00006107" w:rsidRDefault="00006107" w:rsidP="00FC0002">
      <w:pPr>
        <w:pStyle w:val="CGPC-elearning"/>
      </w:pPr>
      <w:r>
        <w:br w:type="page"/>
      </w:r>
    </w:p>
    <w:p w14:paraId="4B7FBE1F" w14:textId="7EEBEE80" w:rsidR="00197C2B" w:rsidRDefault="00197C2B" w:rsidP="00FC0002">
      <w:pPr>
        <w:pStyle w:val="CGPC-elearning"/>
      </w:pPr>
      <w:r>
        <w:lastRenderedPageBreak/>
        <w:t>Le législateur a mis en place des dispositifs permettant aux salariés et aux travailleurs non-salariés de se constituer une épargne, dans des conditions fiscales généralement avantageuses. Le dirigeant d’entreprise, qu’il soit salarié, assimilé salarié ou non salarié, peut en bénéficier et percevoir un complément de rémunération qui prendra la forme d’un versement en capital ou d’une rente viagère.</w:t>
      </w:r>
    </w:p>
    <w:p w14:paraId="52C2CD91" w14:textId="77777777" w:rsidR="001B5802" w:rsidRDefault="001B5802" w:rsidP="00FC0002">
      <w:pPr>
        <w:pStyle w:val="CGPC-elearning"/>
      </w:pPr>
    </w:p>
    <w:p w14:paraId="7EAD98CE" w14:textId="616A15BE" w:rsidR="00197C2B" w:rsidRPr="00B42E87" w:rsidRDefault="00197C2B" w:rsidP="00FC0002">
      <w:pPr>
        <w:pStyle w:val="Titre3"/>
        <w:numPr>
          <w:ilvl w:val="0"/>
          <w:numId w:val="11"/>
        </w:numPr>
      </w:pPr>
      <w:bookmarkStart w:id="8" w:name="_Toc186712245"/>
      <w:r w:rsidRPr="00B42E87">
        <w:t>Les dispositifs collectifs d’épargne hors retraite</w:t>
      </w:r>
      <w:bookmarkEnd w:id="8"/>
    </w:p>
    <w:p w14:paraId="776CC46A" w14:textId="0FEA2121" w:rsidR="000A60F2" w:rsidRDefault="000A60F2" w:rsidP="00197C2B">
      <w:pPr>
        <w:pStyle w:val="NormalWeb"/>
        <w:spacing w:before="0" w:beforeAutospacing="0" w:after="0" w:afterAutospacing="0"/>
        <w:jc w:val="both"/>
        <w:textAlignment w:val="baseline"/>
        <w:rPr>
          <w:sz w:val="21"/>
          <w:szCs w:val="21"/>
        </w:rPr>
      </w:pPr>
    </w:p>
    <w:p w14:paraId="4B4B8332" w14:textId="77777777" w:rsidR="00AC29AB" w:rsidRDefault="00AC29AB" w:rsidP="00FC0002">
      <w:pPr>
        <w:pStyle w:val="CGPC-elearning"/>
        <w:sectPr w:rsidR="00AC29AB" w:rsidSect="00BF6145">
          <w:type w:val="continuous"/>
          <w:pgSz w:w="23811" w:h="16838" w:orient="landscape" w:code="8"/>
          <w:pgMar w:top="1440" w:right="1440" w:bottom="1440" w:left="1440" w:header="720" w:footer="720" w:gutter="0"/>
          <w:pgNumType w:start="0"/>
          <w:cols w:space="720"/>
          <w:titlePg/>
          <w:docGrid w:linePitch="360"/>
        </w:sectPr>
      </w:pPr>
    </w:p>
    <w:p w14:paraId="69C5050F" w14:textId="2F9BDCC7" w:rsidR="00E008CD" w:rsidRDefault="00197C2B" w:rsidP="00FC0002">
      <w:pPr>
        <w:pStyle w:val="CGPC-elearning"/>
        <w:rPr>
          <w:noProof/>
        </w:rPr>
      </w:pPr>
      <w:r>
        <w:t>Le législateur a mis en place des dispositifs collectifs permettant aux salariés de se constituer une épargne, dont peut profiter le dirigeant</w:t>
      </w:r>
      <w:r w:rsidR="000A60F2">
        <w:rPr>
          <w:rFonts w:ascii="Times New Roman" w:hAnsi="Times New Roman" w:cs="Times New Roman"/>
        </w:rPr>
        <w:t xml:space="preserve"> </w:t>
      </w:r>
      <w:r>
        <w:t>salarié ou assimilé salarié.</w:t>
      </w:r>
      <w:r w:rsidR="000A60F2" w:rsidRPr="000A60F2">
        <w:rPr>
          <w:noProof/>
        </w:rPr>
        <w:t xml:space="preserve"> </w:t>
      </w:r>
    </w:p>
    <w:p w14:paraId="1C4FA9AD" w14:textId="77777777" w:rsidR="007269D6" w:rsidRDefault="007269D6" w:rsidP="00FC0002">
      <w:pPr>
        <w:pStyle w:val="CGPC-elearning"/>
      </w:pPr>
    </w:p>
    <w:p w14:paraId="3A4F1ADD" w14:textId="3CE4DCA9" w:rsidR="00197C2B" w:rsidRDefault="00197C2B" w:rsidP="00FC0002">
      <w:pPr>
        <w:pStyle w:val="CGPC-elearning"/>
      </w:pPr>
      <w:r>
        <w:t>Les dispositifs pour constituer une épargne sont :</w:t>
      </w:r>
    </w:p>
    <w:p w14:paraId="07C669AE" w14:textId="77777777" w:rsidR="00197C2B" w:rsidRDefault="00197C2B" w:rsidP="00FC0002">
      <w:pPr>
        <w:pStyle w:val="CGPC-elearning"/>
      </w:pPr>
      <w:r>
        <w:t>–     l’intéressement ;</w:t>
      </w:r>
    </w:p>
    <w:p w14:paraId="61D0E012" w14:textId="77777777" w:rsidR="00197C2B" w:rsidRDefault="00197C2B" w:rsidP="00FC0002">
      <w:pPr>
        <w:pStyle w:val="CGPC-elearning"/>
      </w:pPr>
      <w:r>
        <w:t>–     la participation ;</w:t>
      </w:r>
    </w:p>
    <w:p w14:paraId="253104A8" w14:textId="57B20171" w:rsidR="00212583" w:rsidRDefault="00197C2B" w:rsidP="00FC0002">
      <w:pPr>
        <w:pStyle w:val="CGPC-elearning"/>
      </w:pPr>
      <w:r>
        <w:t>–     le plan d’épargne entreprise.</w:t>
      </w:r>
    </w:p>
    <w:p w14:paraId="2AF4E1AB" w14:textId="77777777" w:rsidR="00AC29AB" w:rsidRDefault="00AC29AB" w:rsidP="00FC0002">
      <w:pPr>
        <w:pStyle w:val="CGPC-elearning"/>
        <w:sectPr w:rsidR="00AC29AB" w:rsidSect="00AC29AB">
          <w:type w:val="continuous"/>
          <w:pgSz w:w="23811" w:h="16838" w:orient="landscape" w:code="8"/>
          <w:pgMar w:top="1440" w:right="1440" w:bottom="1440" w:left="1440" w:header="720" w:footer="720" w:gutter="0"/>
          <w:pgNumType w:start="0"/>
          <w:cols w:num="2" w:space="720"/>
          <w:titlePg/>
          <w:docGrid w:linePitch="360"/>
        </w:sectPr>
      </w:pPr>
    </w:p>
    <w:p w14:paraId="62EE27C3" w14:textId="2F30134A" w:rsidR="00212583" w:rsidRDefault="00212583" w:rsidP="00FC0002">
      <w:pPr>
        <w:pStyle w:val="CGPC-elearning"/>
      </w:pPr>
      <w:r>
        <w:br w:type="page"/>
      </w:r>
      <w:r w:rsidR="00F47F63">
        <w:rPr>
          <w:noProof/>
        </w:rPr>
        <w:drawing>
          <wp:anchor distT="0" distB="0" distL="114300" distR="114300" simplePos="0" relativeHeight="251648000" behindDoc="0" locked="0" layoutInCell="1" allowOverlap="1" wp14:anchorId="6260BC12" wp14:editId="61F24CAE">
            <wp:simplePos x="0" y="0"/>
            <wp:positionH relativeFrom="column">
              <wp:posOffset>220717</wp:posOffset>
            </wp:positionH>
            <wp:positionV relativeFrom="paragraph">
              <wp:posOffset>-3074035</wp:posOffset>
            </wp:positionV>
            <wp:extent cx="6524625" cy="6753225"/>
            <wp:effectExtent l="0" t="0" r="9525" b="9525"/>
            <wp:wrapSquare wrapText="bothSides"/>
            <wp:docPr id="1436212428" name="Image 18" descr="Une image contenant texte, diagramme, ligne, trian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212428" name="Image 18" descr="Une image contenant texte, diagramme, ligne, triangle"/>
                    <pic:cNvPicPr/>
                  </pic:nvPicPr>
                  <pic:blipFill>
                    <a:blip r:embed="rId30">
                      <a:extLst>
                        <a:ext uri="{28A0092B-C50C-407E-A947-70E740481C1C}">
                          <a14:useLocalDpi xmlns:a14="http://schemas.microsoft.com/office/drawing/2010/main" val="0"/>
                        </a:ext>
                      </a:extLst>
                    </a:blip>
                    <a:stretch>
                      <a:fillRect/>
                    </a:stretch>
                  </pic:blipFill>
                  <pic:spPr>
                    <a:xfrm>
                      <a:off x="0" y="0"/>
                      <a:ext cx="6524625" cy="6753225"/>
                    </a:xfrm>
                    <a:prstGeom prst="rect">
                      <a:avLst/>
                    </a:prstGeom>
                  </pic:spPr>
                </pic:pic>
              </a:graphicData>
            </a:graphic>
          </wp:anchor>
        </w:drawing>
      </w:r>
    </w:p>
    <w:p w14:paraId="648C6D02" w14:textId="719B70CA" w:rsidR="00197C2B" w:rsidRPr="00B42E87" w:rsidRDefault="00E008CD" w:rsidP="00FC0002">
      <w:pPr>
        <w:pStyle w:val="Titre4"/>
        <w:numPr>
          <w:ilvl w:val="0"/>
          <w:numId w:val="14"/>
        </w:numPr>
      </w:pPr>
      <w:r>
        <w:lastRenderedPageBreak/>
        <w:t>L’i</w:t>
      </w:r>
      <w:r w:rsidR="00197C2B" w:rsidRPr="00B42E87">
        <w:t>ntéressement</w:t>
      </w:r>
    </w:p>
    <w:p w14:paraId="67E6A6C7" w14:textId="17E4230D" w:rsidR="000A60F2" w:rsidRDefault="00F47F63" w:rsidP="00197C2B">
      <w:pPr>
        <w:pStyle w:val="NormalWeb"/>
        <w:spacing w:before="0" w:beforeAutospacing="0" w:after="0" w:afterAutospacing="0"/>
        <w:jc w:val="both"/>
        <w:textAlignment w:val="baseline"/>
        <w:rPr>
          <w:sz w:val="21"/>
          <w:szCs w:val="21"/>
        </w:rPr>
      </w:pPr>
      <w:r>
        <w:rPr>
          <w:noProof/>
        </w:rPr>
        <w:drawing>
          <wp:anchor distT="0" distB="0" distL="114300" distR="114300" simplePos="0" relativeHeight="251654144" behindDoc="0" locked="0" layoutInCell="1" allowOverlap="1" wp14:anchorId="4BC2EA43" wp14:editId="6D8BA138">
            <wp:simplePos x="0" y="0"/>
            <wp:positionH relativeFrom="column">
              <wp:posOffset>-252730</wp:posOffset>
            </wp:positionH>
            <wp:positionV relativeFrom="paragraph">
              <wp:posOffset>214630</wp:posOffset>
            </wp:positionV>
            <wp:extent cx="6431915" cy="7646035"/>
            <wp:effectExtent l="0" t="0" r="6985" b="0"/>
            <wp:wrapSquare wrapText="bothSides"/>
            <wp:docPr id="1496684600" name="Image 16" descr="Une image contenant texte, capture d’écran,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684600" name="Image 16" descr="Une image contenant texte, capture d’écran, Police"/>
                    <pic:cNvPicPr/>
                  </pic:nvPicPr>
                  <pic:blipFill>
                    <a:blip r:embed="rId31">
                      <a:extLst>
                        <a:ext uri="{28A0092B-C50C-407E-A947-70E740481C1C}">
                          <a14:useLocalDpi xmlns:a14="http://schemas.microsoft.com/office/drawing/2010/main" val="0"/>
                        </a:ext>
                      </a:extLst>
                    </a:blip>
                    <a:stretch>
                      <a:fillRect/>
                    </a:stretch>
                  </pic:blipFill>
                  <pic:spPr>
                    <a:xfrm>
                      <a:off x="0" y="0"/>
                      <a:ext cx="6431915" cy="7646035"/>
                    </a:xfrm>
                    <a:prstGeom prst="rect">
                      <a:avLst/>
                    </a:prstGeom>
                  </pic:spPr>
                </pic:pic>
              </a:graphicData>
            </a:graphic>
            <wp14:sizeRelH relativeFrom="margin">
              <wp14:pctWidth>0</wp14:pctWidth>
            </wp14:sizeRelH>
            <wp14:sizeRelV relativeFrom="margin">
              <wp14:pctHeight>0</wp14:pctHeight>
            </wp14:sizeRelV>
          </wp:anchor>
        </w:drawing>
      </w:r>
    </w:p>
    <w:p w14:paraId="4E3FA886" w14:textId="77777777" w:rsidR="00F47F63" w:rsidRDefault="00F47F63" w:rsidP="00FC0002">
      <w:pPr>
        <w:pStyle w:val="CGPC-elearning"/>
        <w:sectPr w:rsidR="00F47F63" w:rsidSect="00AC29AB">
          <w:type w:val="continuous"/>
          <w:pgSz w:w="23811" w:h="16838" w:orient="landscape" w:code="8"/>
          <w:pgMar w:top="1440" w:right="1440" w:bottom="1440" w:left="1440" w:header="720" w:footer="720" w:gutter="0"/>
          <w:pgNumType w:start="0"/>
          <w:cols w:space="720"/>
          <w:titlePg/>
          <w:docGrid w:linePitch="360"/>
        </w:sectPr>
      </w:pPr>
    </w:p>
    <w:p w14:paraId="7A3EC69B" w14:textId="0AA28565" w:rsidR="00197C2B" w:rsidRDefault="00197C2B" w:rsidP="00FC0002">
      <w:pPr>
        <w:pStyle w:val="CGPC-elearning"/>
        <w:rPr>
          <w:rFonts w:ascii="Times New Roman" w:hAnsi="Times New Roman" w:cs="Times New Roman"/>
        </w:rPr>
      </w:pPr>
      <w:r>
        <w:t>L’intéressement est un mécanisme, facultatif, permettant de verser aux salariés une prime proportionnelle aux résultats ou aux performances de l’entreprise.</w:t>
      </w:r>
    </w:p>
    <w:p w14:paraId="5260B618" w14:textId="77777777" w:rsidR="00F47F63" w:rsidRDefault="00F47F63" w:rsidP="00FC0002">
      <w:pPr>
        <w:pStyle w:val="CGPC-elearning"/>
      </w:pPr>
    </w:p>
    <w:p w14:paraId="55562331" w14:textId="20B4C7C6" w:rsidR="00197C2B" w:rsidRDefault="00E008CD" w:rsidP="00FC0002">
      <w:pPr>
        <w:pStyle w:val="CGPC-elearning"/>
      </w:pPr>
      <w:r>
        <w:t>Toutes les entreprises (quelle  que soi</w:t>
      </w:r>
      <w:r w:rsidR="00197C2B">
        <w:t>t leur forme juridique, leur nombre de salariés ou leur domaine d’activité) peuvent le mettre en place, grâce à un accord entre l’entreprise et les salariés ou leurs représentants.</w:t>
      </w:r>
    </w:p>
    <w:p w14:paraId="4009A779" w14:textId="77777777" w:rsidR="00F47F63" w:rsidRDefault="00F47F63" w:rsidP="00FC0002">
      <w:pPr>
        <w:pStyle w:val="CGPC-elearning"/>
      </w:pPr>
    </w:p>
    <w:p w14:paraId="6490E471" w14:textId="63369547" w:rsidR="00197C2B" w:rsidRDefault="00197C2B" w:rsidP="00FC0002">
      <w:pPr>
        <w:pStyle w:val="CGPC-elearning"/>
      </w:pPr>
      <w:r>
        <w:t>Pour l’entreprise, les sommes versées sont déductibles de son résultat imposable et échappent aux cotisations sociales.</w:t>
      </w:r>
    </w:p>
    <w:p w14:paraId="10D2832C" w14:textId="77777777" w:rsidR="00F47F63" w:rsidRDefault="00F47F63" w:rsidP="00FC0002">
      <w:pPr>
        <w:pStyle w:val="CGPC-elearning"/>
      </w:pPr>
    </w:p>
    <w:p w14:paraId="2598B47F" w14:textId="4D6AAF43" w:rsidR="00197C2B" w:rsidRDefault="00197C2B" w:rsidP="00FC0002">
      <w:pPr>
        <w:pStyle w:val="CGPC-elearning"/>
      </w:pPr>
      <w:r>
        <w:t>Toutes les entreprises de moins de 250 salariés sont exonérées de forfait social sur les sommes versées aux salariés dans le cadre de l’intéressement.</w:t>
      </w:r>
    </w:p>
    <w:p w14:paraId="2A654480" w14:textId="77777777" w:rsidR="00F47F63" w:rsidRDefault="00F47F63" w:rsidP="00FC0002">
      <w:pPr>
        <w:pStyle w:val="CGPC-elearning"/>
      </w:pPr>
    </w:p>
    <w:p w14:paraId="6E511FC3" w14:textId="76FEDCB0" w:rsidR="00197C2B" w:rsidRDefault="00197C2B" w:rsidP="00FC0002">
      <w:pPr>
        <w:pStyle w:val="CGPC-elearning"/>
      </w:pPr>
      <w:r>
        <w:t>La somme annuelle perçue par un salarié au titre de l’intéressement ne peut pas dépasser 75 % du plafond annuel de la sécurité sociale.</w:t>
      </w:r>
    </w:p>
    <w:p w14:paraId="7B649829" w14:textId="77777777" w:rsidR="00F47F63" w:rsidRDefault="00F47F63" w:rsidP="00FC0002">
      <w:pPr>
        <w:pStyle w:val="CGPC-elearning"/>
      </w:pPr>
    </w:p>
    <w:p w14:paraId="393C5B73" w14:textId="0A01A005" w:rsidR="00197C2B" w:rsidRDefault="00197C2B" w:rsidP="00FC0002">
      <w:pPr>
        <w:pStyle w:val="CGPC-elearning"/>
      </w:pPr>
      <w:r>
        <w:t xml:space="preserve">Pour le dirigeant associé, les sommes perçues sont en principe soumises à l’impôt sur le revenu, à la CSG et la CRDS, mais sont exonérées de cotisations patronales. Par exception, elles ne sont pas imposables si elles sont versées dans les 15 jours sur un plan d’épargne entreprise (PEE, </w:t>
      </w:r>
      <w:proofErr w:type="spellStart"/>
      <w:r>
        <w:t>PERco</w:t>
      </w:r>
      <w:proofErr w:type="spellEnd"/>
      <w:r>
        <w:t>).</w:t>
      </w:r>
      <w:r w:rsidR="00F47F63">
        <w:t xml:space="preserve"> </w:t>
      </w:r>
    </w:p>
    <w:p w14:paraId="7B30F34B" w14:textId="4D4BA887" w:rsidR="00F47F63" w:rsidRDefault="00F47F63">
      <w:pPr>
        <w:jc w:val="left"/>
        <w:rPr>
          <w:rFonts w:cs="Open Sans"/>
          <w:bCs/>
          <w:kern w:val="2"/>
          <w:szCs w:val="24"/>
          <w14:ligatures w14:val="standardContextual"/>
        </w:rPr>
      </w:pPr>
      <w:r>
        <w:br w:type="page"/>
      </w:r>
    </w:p>
    <w:p w14:paraId="6A8D2CEA" w14:textId="77777777" w:rsidR="00F47F63" w:rsidRDefault="00F47F63" w:rsidP="00FC0002">
      <w:pPr>
        <w:pStyle w:val="CGPC-elearning"/>
        <w:sectPr w:rsidR="00F47F63" w:rsidSect="00F47F63">
          <w:type w:val="continuous"/>
          <w:pgSz w:w="23811" w:h="16838" w:orient="landscape" w:code="8"/>
          <w:pgMar w:top="1440" w:right="1440" w:bottom="1440" w:left="1440" w:header="720" w:footer="720" w:gutter="0"/>
          <w:pgNumType w:start="0"/>
          <w:cols w:space="720"/>
          <w:titlePg/>
          <w:docGrid w:linePitch="360"/>
        </w:sectPr>
      </w:pPr>
    </w:p>
    <w:p w14:paraId="455C90F2" w14:textId="2C4D9836" w:rsidR="00167507" w:rsidRDefault="00167507" w:rsidP="00FC0002">
      <w:pPr>
        <w:pStyle w:val="CGPC-elearning"/>
      </w:pPr>
    </w:p>
    <w:p w14:paraId="25533585" w14:textId="77777777" w:rsidR="00E008CD" w:rsidRDefault="00E008CD" w:rsidP="00FC0002">
      <w:pPr>
        <w:pStyle w:val="CGPC-elearning"/>
      </w:pPr>
    </w:p>
    <w:p w14:paraId="5B8D1BEC" w14:textId="678CF300" w:rsidR="00197C2B" w:rsidRDefault="00E008CD" w:rsidP="00FC0002">
      <w:pPr>
        <w:pStyle w:val="Titre4"/>
      </w:pPr>
      <w:r>
        <w:t>La p</w:t>
      </w:r>
      <w:r w:rsidR="00197C2B">
        <w:t>articipation</w:t>
      </w:r>
    </w:p>
    <w:p w14:paraId="4F752212" w14:textId="059CDA15" w:rsidR="00197C2B" w:rsidRDefault="00BF26CA" w:rsidP="00FC0002">
      <w:pPr>
        <w:pStyle w:val="CGPC-elearning"/>
        <w:rPr>
          <w:rFonts w:ascii="Times New Roman" w:hAnsi="Times New Roman" w:cs="Times New Roman"/>
        </w:rPr>
      </w:pPr>
      <w:r>
        <w:rPr>
          <w:noProof/>
        </w:rPr>
        <w:drawing>
          <wp:anchor distT="0" distB="0" distL="114300" distR="114300" simplePos="0" relativeHeight="251655168" behindDoc="0" locked="0" layoutInCell="1" allowOverlap="1" wp14:anchorId="6D671345" wp14:editId="7E96CE11">
            <wp:simplePos x="0" y="0"/>
            <wp:positionH relativeFrom="column">
              <wp:posOffset>228600</wp:posOffset>
            </wp:positionH>
            <wp:positionV relativeFrom="paragraph">
              <wp:posOffset>5715</wp:posOffset>
            </wp:positionV>
            <wp:extent cx="5514975" cy="6419850"/>
            <wp:effectExtent l="0" t="0" r="9525" b="0"/>
            <wp:wrapSquare wrapText="bothSides"/>
            <wp:docPr id="685390386" name="Image 19" descr="Une image contenant texte, capture d’écran, Polic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390386" name="Image 19" descr="Une image contenant texte, capture d’écran, Police, conception&#10;&#10;Description générée automatiquement"/>
                    <pic:cNvPicPr/>
                  </pic:nvPicPr>
                  <pic:blipFill>
                    <a:blip r:embed="rId32">
                      <a:extLst>
                        <a:ext uri="{28A0092B-C50C-407E-A947-70E740481C1C}">
                          <a14:useLocalDpi xmlns:a14="http://schemas.microsoft.com/office/drawing/2010/main" val="0"/>
                        </a:ext>
                      </a:extLst>
                    </a:blip>
                    <a:stretch>
                      <a:fillRect/>
                    </a:stretch>
                  </pic:blipFill>
                  <pic:spPr>
                    <a:xfrm>
                      <a:off x="0" y="0"/>
                      <a:ext cx="5514975" cy="6419850"/>
                    </a:xfrm>
                    <a:prstGeom prst="rect">
                      <a:avLst/>
                    </a:prstGeom>
                  </pic:spPr>
                </pic:pic>
              </a:graphicData>
            </a:graphic>
          </wp:anchor>
        </w:drawing>
      </w:r>
      <w:r w:rsidR="00197C2B">
        <w:t>Obligatoire dans les entreprises de plus de 50 salariés, la participation est ouverte aux entreprises ayant des effectifs moindres.</w:t>
      </w:r>
    </w:p>
    <w:p w14:paraId="5BA8F79C" w14:textId="77777777" w:rsidR="00197C2B" w:rsidRDefault="00197C2B" w:rsidP="00FC0002">
      <w:pPr>
        <w:pStyle w:val="CGPC-elearning"/>
      </w:pPr>
      <w:r>
        <w:t>Le complément de rémunération est calculé en fonction des bénéfices de l’entreprise. Le plus souvent, les sommes prélevées sont versées sur un plan d’épargne entreprise (PEE) ou un plan d’épargne retraite d’entreprise collectif (</w:t>
      </w:r>
      <w:proofErr w:type="spellStart"/>
      <w:r>
        <w:t>PERco</w:t>
      </w:r>
      <w:proofErr w:type="spellEnd"/>
      <w:r>
        <w:t>). Le régime de la participation peut faire l’objet d’un accord d’entreprise ou de branche.</w:t>
      </w:r>
    </w:p>
    <w:p w14:paraId="7C300B29" w14:textId="77777777" w:rsidR="00197C2B" w:rsidRDefault="00197C2B" w:rsidP="00FC0002">
      <w:pPr>
        <w:pStyle w:val="CGPC-elearning"/>
      </w:pPr>
      <w:r>
        <w:t xml:space="preserve">Pour l’entreprise, comme pour l’intéressement, les sommes versées sont déductibles de son résultat imposable et échappent aux cotisations sociales. Elles sont cependant soumises au « forfait social » de 20 % (réduit à 16 % en cas de versement sur un </w:t>
      </w:r>
      <w:proofErr w:type="spellStart"/>
      <w:r>
        <w:t>PERco</w:t>
      </w:r>
      <w:proofErr w:type="spellEnd"/>
      <w:r>
        <w:t>).</w:t>
      </w:r>
    </w:p>
    <w:p w14:paraId="5A292EE3" w14:textId="77777777" w:rsidR="00197C2B" w:rsidRDefault="00197C2B" w:rsidP="00FC0002">
      <w:pPr>
        <w:pStyle w:val="CGPC-elearning"/>
      </w:pPr>
      <w:r>
        <w:t>Depuis le 1</w:t>
      </w:r>
      <w:r>
        <w:rPr>
          <w:bdr w:val="none" w:sz="0" w:space="0" w:color="auto" w:frame="1"/>
          <w:vertAlign w:val="superscript"/>
        </w:rPr>
        <w:t>er</w:t>
      </w:r>
      <w:r>
        <w:t> janvier 2019, afin d’encourager les entreprises employant moins de 50 salariés à mettre en place un accord de participation, ces dernières sont exonérées du versement du forfait social.</w:t>
      </w:r>
    </w:p>
    <w:p w14:paraId="78F89234" w14:textId="072CB65D" w:rsidR="00932636" w:rsidRDefault="00197C2B" w:rsidP="00FC0002">
      <w:pPr>
        <w:pStyle w:val="CGPC-elearning"/>
      </w:pPr>
      <w:r>
        <w:t>Pour le dirigeant associé, les sommes perçues ne sont pas soumises à l’impôt sur le revenu si elles sont bloquées pendant une période de cinq ans (huit en l’absence d’accord de participation). Elles sont également exonérées de cotisations patronales. En revanche, elles supportent la CSG (taux de 7,5 %) et la CRDS (taux de 0,5 %). Quant aux gains réalisés sur l’épargne, ils ne sont pas soumis à l’impôt sur le revenu, mais supportent des prélèvements sociaux (taux de 17,2 %).</w:t>
      </w:r>
    </w:p>
    <w:p w14:paraId="595CC1C9" w14:textId="77777777" w:rsidR="00932636" w:rsidRDefault="00932636" w:rsidP="00FC0002">
      <w:pPr>
        <w:pStyle w:val="CGPC-elearning"/>
      </w:pPr>
      <w:r>
        <w:br w:type="page"/>
      </w:r>
    </w:p>
    <w:p w14:paraId="730DC9A0" w14:textId="302FBC4B" w:rsidR="00197C2B" w:rsidRDefault="003569CC" w:rsidP="00FC0002">
      <w:pPr>
        <w:pStyle w:val="Titre4"/>
      </w:pPr>
      <w:r>
        <w:rPr>
          <w:noProof/>
          <w:szCs w:val="28"/>
        </w:rPr>
        <w:lastRenderedPageBreak/>
        <w:drawing>
          <wp:anchor distT="0" distB="0" distL="114300" distR="114300" simplePos="0" relativeHeight="251656192" behindDoc="0" locked="0" layoutInCell="1" allowOverlap="1" wp14:anchorId="2C3CFE2C" wp14:editId="68B7BE94">
            <wp:simplePos x="0" y="0"/>
            <wp:positionH relativeFrom="column">
              <wp:posOffset>0</wp:posOffset>
            </wp:positionH>
            <wp:positionV relativeFrom="paragraph">
              <wp:posOffset>533400</wp:posOffset>
            </wp:positionV>
            <wp:extent cx="6100445" cy="4914900"/>
            <wp:effectExtent l="0" t="0" r="0" b="0"/>
            <wp:wrapSquare wrapText="bothSides"/>
            <wp:docPr id="1147888442" name="Image 20" descr="Une image contenant texte, capture d’écran, diagramm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888442" name="Image 20" descr="Une image contenant texte, capture d’écran, diagramme, ligne&#10;&#10;Description générée automatiquement"/>
                    <pic:cNvPicPr/>
                  </pic:nvPicPr>
                  <pic:blipFill>
                    <a:blip r:embed="rId33">
                      <a:extLst>
                        <a:ext uri="{28A0092B-C50C-407E-A947-70E740481C1C}">
                          <a14:useLocalDpi xmlns:a14="http://schemas.microsoft.com/office/drawing/2010/main" val="0"/>
                        </a:ext>
                      </a:extLst>
                    </a:blip>
                    <a:stretch>
                      <a:fillRect/>
                    </a:stretch>
                  </pic:blipFill>
                  <pic:spPr>
                    <a:xfrm>
                      <a:off x="0" y="0"/>
                      <a:ext cx="6100445" cy="4914900"/>
                    </a:xfrm>
                    <a:prstGeom prst="rect">
                      <a:avLst/>
                    </a:prstGeom>
                  </pic:spPr>
                </pic:pic>
              </a:graphicData>
            </a:graphic>
            <wp14:sizeRelH relativeFrom="margin">
              <wp14:pctWidth>0</wp14:pctWidth>
            </wp14:sizeRelH>
            <wp14:sizeRelV relativeFrom="margin">
              <wp14:pctHeight>0</wp14:pctHeight>
            </wp14:sizeRelV>
          </wp:anchor>
        </w:drawing>
      </w:r>
      <w:r w:rsidR="001F4976">
        <w:t xml:space="preserve">Le </w:t>
      </w:r>
      <w:r w:rsidR="00197C2B">
        <w:t>Plan d’Épargne entreprise (PEE)</w:t>
      </w:r>
    </w:p>
    <w:p w14:paraId="72FCFF53" w14:textId="5A05EBB1" w:rsidR="00197C2B" w:rsidRPr="00932636" w:rsidRDefault="00197C2B" w:rsidP="00932636">
      <w:pPr>
        <w:rPr>
          <w:rFonts w:ascii="Times New Roman" w:hAnsi="Times New Roman" w:cs="Times New Roman"/>
          <w:szCs w:val="28"/>
        </w:rPr>
      </w:pPr>
      <w:r w:rsidRPr="00932636">
        <w:rPr>
          <w:szCs w:val="28"/>
        </w:rPr>
        <w:t>Le plan d’épargne entreprise (PEE) permet aux salariés de se constituer un portefeuille de valeurs mobilières à l’aide de leur entreprise. Il peut être abondé par les sommes perçues au titre de l’intéressement ou de la participation, par des versements volontaires des salariés (dans la limite du quart de leur rémunération annuelle brute) ou par l’entreprise (dans des limites qui varient selon que le versement permet l’acquisition de titres de société ou non). Les sommes placées sont en principe bloquées pendant cinq ans.</w:t>
      </w:r>
    </w:p>
    <w:p w14:paraId="6EDC0B43" w14:textId="77777777" w:rsidR="00197C2B" w:rsidRPr="00932636" w:rsidRDefault="00197C2B" w:rsidP="00932636">
      <w:pPr>
        <w:rPr>
          <w:szCs w:val="28"/>
        </w:rPr>
      </w:pPr>
      <w:r w:rsidRPr="00932636">
        <w:rPr>
          <w:szCs w:val="28"/>
        </w:rPr>
        <w:t>Toutes les entreprises privées qui embauchent au moins un salarié titulaire d’un contrat de travail, à temps plein ou à temps partiel, peuvent mettre en place un plan d’épargne entreprise. Les associations peuvent également y recourir lorsqu’elles emploient au moins un salarié.</w:t>
      </w:r>
    </w:p>
    <w:p w14:paraId="0AA8E9C7" w14:textId="77777777" w:rsidR="00197C2B" w:rsidRPr="00932636" w:rsidRDefault="00197C2B" w:rsidP="00932636">
      <w:pPr>
        <w:rPr>
          <w:szCs w:val="28"/>
        </w:rPr>
      </w:pPr>
      <w:r w:rsidRPr="00932636">
        <w:rPr>
          <w:rStyle w:val="lev"/>
          <w:szCs w:val="28"/>
          <w:bdr w:val="none" w:sz="0" w:space="0" w:color="auto" w:frame="1"/>
        </w:rPr>
        <w:t>Les dispositifs collectifs d’Épargne retraite (articles 83, 82 et 39 du Code général des impôts)</w:t>
      </w:r>
    </w:p>
    <w:p w14:paraId="0D1D2215" w14:textId="77777777" w:rsidR="00197C2B" w:rsidRPr="00932636" w:rsidRDefault="00197C2B" w:rsidP="00932636">
      <w:pPr>
        <w:rPr>
          <w:szCs w:val="28"/>
        </w:rPr>
      </w:pPr>
      <w:r w:rsidRPr="00932636">
        <w:rPr>
          <w:szCs w:val="28"/>
        </w:rPr>
        <w:t>La mise en place de régimes supplémentaires de retraite permet de pallier la faiblesse du taux de remplacement assuré par les régimes de base pour les rémunérations les plus élevées et donc les dirigeants.</w:t>
      </w:r>
    </w:p>
    <w:p w14:paraId="31B1283E" w14:textId="77777777" w:rsidR="00197C2B" w:rsidRPr="00932636" w:rsidRDefault="00197C2B" w:rsidP="00932636">
      <w:pPr>
        <w:rPr>
          <w:szCs w:val="28"/>
        </w:rPr>
      </w:pPr>
      <w:r w:rsidRPr="00932636">
        <w:rPr>
          <w:szCs w:val="28"/>
        </w:rPr>
        <w:t>Il existe trois régimes de retraite supplémentaire :</w:t>
      </w:r>
    </w:p>
    <w:p w14:paraId="7461973B" w14:textId="77777777" w:rsidR="00197C2B" w:rsidRPr="00932636" w:rsidRDefault="00197C2B" w:rsidP="00932636">
      <w:pPr>
        <w:rPr>
          <w:szCs w:val="28"/>
        </w:rPr>
      </w:pPr>
      <w:r w:rsidRPr="00932636">
        <w:rPr>
          <w:szCs w:val="28"/>
        </w:rPr>
        <w:t>le régime à cotisations définies, le PER d’entreprise obligatoire ;</w:t>
      </w:r>
    </w:p>
    <w:p w14:paraId="5EF3A1ED" w14:textId="77777777" w:rsidR="00197C2B" w:rsidRPr="00932636" w:rsidRDefault="00197C2B" w:rsidP="00932636">
      <w:pPr>
        <w:rPr>
          <w:szCs w:val="28"/>
        </w:rPr>
      </w:pPr>
      <w:r w:rsidRPr="00932636">
        <w:rPr>
          <w:szCs w:val="28"/>
        </w:rPr>
        <w:t>le plan d’épargne retraite d’entreprise collectif (</w:t>
      </w:r>
      <w:proofErr w:type="spellStart"/>
      <w:r w:rsidRPr="00932636">
        <w:rPr>
          <w:szCs w:val="28"/>
        </w:rPr>
        <w:t>PERco</w:t>
      </w:r>
      <w:proofErr w:type="spellEnd"/>
      <w:r w:rsidRPr="00932636">
        <w:rPr>
          <w:szCs w:val="28"/>
        </w:rPr>
        <w:t>) ;</w:t>
      </w:r>
    </w:p>
    <w:p w14:paraId="4397E5BA" w14:textId="77777777" w:rsidR="00197C2B" w:rsidRPr="00932636" w:rsidRDefault="00197C2B" w:rsidP="00932636">
      <w:pPr>
        <w:rPr>
          <w:szCs w:val="28"/>
        </w:rPr>
      </w:pPr>
      <w:r w:rsidRPr="00932636">
        <w:rPr>
          <w:szCs w:val="28"/>
        </w:rPr>
        <w:t>le régime à prestations définies (« article 39 » ou retraite chapeau) dans lequel l’employeur s’engage sur un niveau de rente au moment du départ à la retraite.</w:t>
      </w:r>
    </w:p>
    <w:p w14:paraId="3554E83D" w14:textId="7CA566EF" w:rsidR="00197C2B" w:rsidRPr="00932636" w:rsidRDefault="00197C2B" w:rsidP="00932636">
      <w:pPr>
        <w:rPr>
          <w:szCs w:val="28"/>
        </w:rPr>
      </w:pPr>
      <w:r w:rsidRPr="00932636">
        <w:rPr>
          <w:b/>
          <w:noProof/>
          <w:szCs w:val="28"/>
          <w:bdr w:val="none" w:sz="0" w:space="0" w:color="auto" w:frame="1"/>
          <w:lang w:eastAsia="fr-FR"/>
        </w:rPr>
        <w:drawing>
          <wp:inline distT="0" distB="0" distL="0" distR="0" wp14:anchorId="297B08CD" wp14:editId="397C9D25">
            <wp:extent cx="189865" cy="189865"/>
            <wp:effectExtent l="0" t="0" r="635" b="635"/>
            <wp:docPr id="1566969109"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932636">
        <w:rPr>
          <w:rStyle w:val="lev"/>
          <w:i/>
          <w:iCs/>
          <w:szCs w:val="28"/>
          <w:u w:val="single"/>
          <w:bdr w:val="none" w:sz="0" w:space="0" w:color="auto" w:frame="1"/>
        </w:rPr>
        <w:t>À noter</w:t>
      </w:r>
      <w:r w:rsidRPr="00932636">
        <w:rPr>
          <w:rStyle w:val="Accentuation"/>
          <w:szCs w:val="28"/>
        </w:rPr>
        <w:t> La loi Pacte du 22 mai 2019 a profondément réformé le paysage de la retraite supplémentaire en introduisant un nouveau produit, le plan d’épargne retraite (PER), qui se décline sous trois formes :</w:t>
      </w:r>
    </w:p>
    <w:p w14:paraId="155E3392" w14:textId="77777777" w:rsidR="00197C2B" w:rsidRPr="00932636" w:rsidRDefault="00197C2B" w:rsidP="00932636">
      <w:pPr>
        <w:rPr>
          <w:szCs w:val="28"/>
        </w:rPr>
      </w:pPr>
      <w:r w:rsidRPr="00932636">
        <w:rPr>
          <w:rStyle w:val="Accentuation"/>
          <w:szCs w:val="28"/>
        </w:rPr>
        <w:t>le plan d’épargne retraite individuel (</w:t>
      </w:r>
      <w:proofErr w:type="spellStart"/>
      <w:r w:rsidRPr="00932636">
        <w:rPr>
          <w:rStyle w:val="Accentuation"/>
          <w:szCs w:val="28"/>
        </w:rPr>
        <w:t>PERin</w:t>
      </w:r>
      <w:proofErr w:type="spellEnd"/>
      <w:r w:rsidRPr="00932636">
        <w:rPr>
          <w:rStyle w:val="Accentuation"/>
          <w:szCs w:val="28"/>
        </w:rPr>
        <w:t>) (v. infra), qui remplace le plan d’épargne retraite populaire (Perp) et le contrat Madelin (contrat d’épargne retraite pour les travailleurs non-salariés) ;</w:t>
      </w:r>
    </w:p>
    <w:p w14:paraId="59ED1F7C" w14:textId="77777777" w:rsidR="00197C2B" w:rsidRPr="00932636" w:rsidRDefault="00197C2B" w:rsidP="00932636">
      <w:pPr>
        <w:rPr>
          <w:szCs w:val="28"/>
        </w:rPr>
      </w:pPr>
      <w:r w:rsidRPr="00932636">
        <w:rPr>
          <w:rStyle w:val="Accentuation"/>
          <w:szCs w:val="28"/>
        </w:rPr>
        <w:t>le plan d’épargne retraite d’entreprise collectif (</w:t>
      </w:r>
      <w:proofErr w:type="spellStart"/>
      <w:r w:rsidRPr="00932636">
        <w:rPr>
          <w:rStyle w:val="Accentuation"/>
          <w:szCs w:val="28"/>
        </w:rPr>
        <w:t>PERco</w:t>
      </w:r>
      <w:proofErr w:type="spellEnd"/>
      <w:r w:rsidRPr="00932636">
        <w:rPr>
          <w:rStyle w:val="Accentuation"/>
          <w:szCs w:val="28"/>
        </w:rPr>
        <w:t>), qui remplace le plan d’épargne pour la retraite collectif (Perco) (v. infra) ;</w:t>
      </w:r>
    </w:p>
    <w:p w14:paraId="78DDC1C4" w14:textId="77777777" w:rsidR="00197C2B" w:rsidRPr="00932636" w:rsidRDefault="00197C2B" w:rsidP="00932636">
      <w:pPr>
        <w:rPr>
          <w:szCs w:val="28"/>
        </w:rPr>
      </w:pPr>
      <w:r w:rsidRPr="00932636">
        <w:rPr>
          <w:rStyle w:val="Accentuation"/>
          <w:szCs w:val="28"/>
        </w:rPr>
        <w:t>le plan d’épargne retraite d’entreprise obligatoire (PER d’entreprise obligatoire), qui remplace le contrat de retraite « article 83 » (v. infra).</w:t>
      </w:r>
    </w:p>
    <w:p w14:paraId="6E5F87B8" w14:textId="77777777" w:rsidR="00197C2B" w:rsidRPr="00932636" w:rsidRDefault="00197C2B" w:rsidP="00932636">
      <w:pPr>
        <w:rPr>
          <w:szCs w:val="28"/>
        </w:rPr>
      </w:pPr>
      <w:r w:rsidRPr="00932636">
        <w:rPr>
          <w:szCs w:val="28"/>
        </w:rPr>
        <w:lastRenderedPageBreak/>
        <w:t>Ces nouveaux plans sont disponibles depuis le 1</w:t>
      </w:r>
      <w:r w:rsidRPr="00932636">
        <w:rPr>
          <w:szCs w:val="28"/>
          <w:bdr w:val="none" w:sz="0" w:space="0" w:color="auto" w:frame="1"/>
          <w:vertAlign w:val="superscript"/>
        </w:rPr>
        <w:t>er</w:t>
      </w:r>
      <w:r w:rsidRPr="00932636">
        <w:rPr>
          <w:szCs w:val="28"/>
        </w:rPr>
        <w:t> octobre 2019. Les anciens plans ne sont plus commercialisés depuis le 1</w:t>
      </w:r>
      <w:r w:rsidRPr="00932636">
        <w:rPr>
          <w:szCs w:val="28"/>
          <w:bdr w:val="none" w:sz="0" w:space="0" w:color="auto" w:frame="1"/>
          <w:vertAlign w:val="superscript"/>
        </w:rPr>
        <w:t>er</w:t>
      </w:r>
      <w:r w:rsidRPr="00932636">
        <w:rPr>
          <w:szCs w:val="28"/>
        </w:rPr>
        <w:t> octobre 2020. Ceux mis en place avant cette date et qui n’auraient pas été transférés vers un nouveau PER subsistent.</w:t>
      </w:r>
    </w:p>
    <w:p w14:paraId="74F9B5A9" w14:textId="77777777" w:rsidR="001F4976" w:rsidRDefault="001F4976" w:rsidP="00FC0002">
      <w:pPr>
        <w:pStyle w:val="CGPC-elearning"/>
      </w:pPr>
    </w:p>
    <w:p w14:paraId="61E68013" w14:textId="755932A8" w:rsidR="00197C2B" w:rsidRDefault="00197C2B" w:rsidP="00FC0002">
      <w:pPr>
        <w:pStyle w:val="Titre3"/>
      </w:pPr>
      <w:bookmarkStart w:id="9" w:name="_Toc186712246"/>
      <w:r>
        <w:t>Le régime à cotisations définies : le PER obligatoire en remplacement de « l’article 83 »</w:t>
      </w:r>
      <w:bookmarkEnd w:id="9"/>
    </w:p>
    <w:p w14:paraId="6C01FCA6" w14:textId="77777777" w:rsidR="000A60F2" w:rsidRPr="000A60F2" w:rsidRDefault="000A60F2" w:rsidP="000A60F2">
      <w:pPr>
        <w:rPr>
          <w:lang w:eastAsia="fr-FR"/>
        </w:rPr>
      </w:pPr>
    </w:p>
    <w:p w14:paraId="62CC37D6" w14:textId="7AEAD545" w:rsidR="00197C2B" w:rsidRPr="00B42E87" w:rsidRDefault="00197C2B" w:rsidP="00FC0002">
      <w:pPr>
        <w:pStyle w:val="Titre4"/>
        <w:numPr>
          <w:ilvl w:val="0"/>
          <w:numId w:val="15"/>
        </w:numPr>
      </w:pPr>
      <w:r w:rsidRPr="00B42E87">
        <w:t>Le fonctionnement du PER obligatoire</w:t>
      </w:r>
    </w:p>
    <w:p w14:paraId="4F86EBE7" w14:textId="5340360B" w:rsidR="00197C2B" w:rsidRDefault="0050555B" w:rsidP="00FC0002">
      <w:pPr>
        <w:pStyle w:val="CGPC-elearning"/>
        <w:rPr>
          <w:rFonts w:ascii="Times New Roman" w:hAnsi="Times New Roman" w:cs="Times New Roman"/>
        </w:rPr>
      </w:pPr>
      <w:r>
        <w:rPr>
          <w:noProof/>
        </w:rPr>
        <w:drawing>
          <wp:anchor distT="0" distB="0" distL="114300" distR="114300" simplePos="0" relativeHeight="251657216" behindDoc="0" locked="0" layoutInCell="1" allowOverlap="1" wp14:anchorId="616629BF" wp14:editId="47CBF196">
            <wp:simplePos x="0" y="0"/>
            <wp:positionH relativeFrom="column">
              <wp:posOffset>228600</wp:posOffset>
            </wp:positionH>
            <wp:positionV relativeFrom="paragraph">
              <wp:posOffset>-1905</wp:posOffset>
            </wp:positionV>
            <wp:extent cx="6991350" cy="5276850"/>
            <wp:effectExtent l="0" t="0" r="0" b="0"/>
            <wp:wrapSquare wrapText="bothSides"/>
            <wp:docPr id="693968621" name="Image 21" descr="Une image contenant texte, capture d’écran,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968621" name="Image 21" descr="Une image contenant texte, capture d’écran, Police, logo&#10;&#10;Description générée automatiquement"/>
                    <pic:cNvPicPr/>
                  </pic:nvPicPr>
                  <pic:blipFill>
                    <a:blip r:embed="rId34">
                      <a:extLst>
                        <a:ext uri="{28A0092B-C50C-407E-A947-70E740481C1C}">
                          <a14:useLocalDpi xmlns:a14="http://schemas.microsoft.com/office/drawing/2010/main" val="0"/>
                        </a:ext>
                      </a:extLst>
                    </a:blip>
                    <a:stretch>
                      <a:fillRect/>
                    </a:stretch>
                  </pic:blipFill>
                  <pic:spPr>
                    <a:xfrm>
                      <a:off x="0" y="0"/>
                      <a:ext cx="6991350" cy="5276850"/>
                    </a:xfrm>
                    <a:prstGeom prst="rect">
                      <a:avLst/>
                    </a:prstGeom>
                  </pic:spPr>
                </pic:pic>
              </a:graphicData>
            </a:graphic>
          </wp:anchor>
        </w:drawing>
      </w:r>
      <w:r w:rsidR="00197C2B">
        <w:t>Mis en place par la loi </w:t>
      </w:r>
      <w:r w:rsidR="00197C2B">
        <w:rPr>
          <w:rStyle w:val="Accentuation"/>
          <w:sz w:val="21"/>
          <w:szCs w:val="21"/>
        </w:rPr>
        <w:t>Pacte</w:t>
      </w:r>
      <w:r w:rsidR="00197C2B">
        <w:t>, le PER obligatoire remplace depuis le 1</w:t>
      </w:r>
      <w:r w:rsidR="00197C2B">
        <w:rPr>
          <w:bdr w:val="none" w:sz="0" w:space="0" w:color="auto" w:frame="1"/>
          <w:vertAlign w:val="superscript"/>
        </w:rPr>
        <w:t>er</w:t>
      </w:r>
      <w:r w:rsidR="00197C2B">
        <w:t> octobre 2019 le PER entreprises, anciennement appelé « article 83 ». Il s’agit d’un plan d’épargne retraite proposé par certaines entreprises, auquel le salarié est obligé d’adhérer dès lors qu’il fait partie de la catégorie visée par le dispositif.</w:t>
      </w:r>
    </w:p>
    <w:p w14:paraId="0614CA9F" w14:textId="77777777" w:rsidR="00197C2B" w:rsidRDefault="00197C2B" w:rsidP="00FC0002">
      <w:pPr>
        <w:pStyle w:val="CGPC-elearning"/>
      </w:pPr>
      <w:r>
        <w:t>Le plan peut également être pour l’ensemble des salariés. Les sommes épargnées sont débloquées à la retraite sous forme de capital et/ou de rente pour les compartiments 1 et 2, et exclusivement en rente pour le compartiment 3 (v. </w:t>
      </w:r>
      <w:r>
        <w:rPr>
          <w:rStyle w:val="Accentuation"/>
          <w:sz w:val="21"/>
          <w:szCs w:val="21"/>
        </w:rPr>
        <w:t>infra</w:t>
      </w:r>
      <w:r>
        <w:t> les compartiments).</w:t>
      </w:r>
    </w:p>
    <w:p w14:paraId="66ADF719" w14:textId="77777777" w:rsidR="00197C2B" w:rsidRDefault="00197C2B" w:rsidP="00FC0002">
      <w:pPr>
        <w:pStyle w:val="CGPC-elearning"/>
      </w:pPr>
      <w:r>
        <w:t>Deux types de PER obligatoire coexistent :</w:t>
      </w:r>
    </w:p>
    <w:p w14:paraId="3AED62E8" w14:textId="77777777" w:rsidR="00197C2B" w:rsidRDefault="00197C2B" w:rsidP="00FC0002">
      <w:pPr>
        <w:pStyle w:val="CGPC-elearning"/>
      </w:pPr>
      <w:r>
        <w:t>le PER « Assurance » géré par un assureur ;</w:t>
      </w:r>
    </w:p>
    <w:p w14:paraId="3FF83C8B" w14:textId="77777777" w:rsidR="00197C2B" w:rsidRDefault="00197C2B" w:rsidP="00FC0002">
      <w:pPr>
        <w:pStyle w:val="CGPC-elearning"/>
      </w:pPr>
      <w:r>
        <w:t>le PER « Titre » géré par un gérant d’actifs.</w:t>
      </w:r>
    </w:p>
    <w:p w14:paraId="3137674E" w14:textId="77777777" w:rsidR="00197C2B" w:rsidRDefault="00197C2B" w:rsidP="00FC0002">
      <w:pPr>
        <w:pStyle w:val="CGPC-elearning"/>
      </w:pPr>
      <w:r>
        <w:t>Globalement, la déductibilité des versements et les conditions de sortie sont identiques entre les deux produits. La différence concerne surtout les supports proposés, les frais et la fiscalité en cas de décès.</w:t>
      </w:r>
    </w:p>
    <w:p w14:paraId="3582E7C4" w14:textId="77777777" w:rsidR="00197C2B" w:rsidRDefault="00197C2B" w:rsidP="00FC0002">
      <w:pPr>
        <w:pStyle w:val="CGPC-elearning"/>
      </w:pPr>
      <w:r>
        <w:t>Le cadre dirigeant ou le mandataire social qui cumule valablement un mandat social et un contrat de travail bénéficie du régime de retraite supplémentaire dans les mêmes conditions que les salariés. Les dirigeants mandataires sociaux sans contrat de travail peuvent être affiliés uniquement par décision de l’organe exécutif (conseil d’administration ou de surveillance pour les SA).</w:t>
      </w:r>
    </w:p>
    <w:p w14:paraId="7A02082A" w14:textId="077E8949" w:rsidR="00197C2B" w:rsidRDefault="00197C2B" w:rsidP="00FC0002">
      <w:pPr>
        <w:pStyle w:val="Titre4"/>
      </w:pPr>
      <w:r>
        <w:lastRenderedPageBreak/>
        <w:t>Les différents versements du PER obligatoire</w:t>
      </w:r>
    </w:p>
    <w:p w14:paraId="3B003BC7" w14:textId="77777777" w:rsidR="00197C2B" w:rsidRDefault="00197C2B" w:rsidP="00FC0002">
      <w:pPr>
        <w:pStyle w:val="CGPC-elearning"/>
        <w:rPr>
          <w:rFonts w:ascii="Times New Roman" w:hAnsi="Times New Roman" w:cs="Times New Roman"/>
        </w:rPr>
      </w:pPr>
      <w:r>
        <w:t>Le PER obligatoire est composé de 3 compartiments distincts :</w:t>
      </w:r>
    </w:p>
    <w:p w14:paraId="13021956" w14:textId="77777777" w:rsidR="00197C2B" w:rsidRDefault="00197C2B" w:rsidP="00FC0002">
      <w:pPr>
        <w:pStyle w:val="CGPC-elearning"/>
      </w:pPr>
      <w:r>
        <w:t>un compartiment pour les versements obligatoires du salarié ou de l’employeur (compartiment 3) ;</w:t>
      </w:r>
    </w:p>
    <w:p w14:paraId="5292BC20" w14:textId="77777777" w:rsidR="00197C2B" w:rsidRDefault="00197C2B" w:rsidP="00FC0002">
      <w:pPr>
        <w:pStyle w:val="CGPC-elearning"/>
      </w:pPr>
      <w:r>
        <w:t>un compartiment pour l’épargne salariale (compartiment 2) intégrant la participation aux résultats de l’entreprise ou l’intéressement (si le PER obligatoire bénéficie à tous les salariés), droits inscrits au compte épargne-temps ou versements correspondant à un nombre plafonné de jours de repos non pris lorsqu’il n’y a pas de compte épargne-temps dans l’entreprise ;</w:t>
      </w:r>
    </w:p>
    <w:p w14:paraId="62480731" w14:textId="77777777" w:rsidR="00197C2B" w:rsidRDefault="00197C2B" w:rsidP="00FC0002">
      <w:pPr>
        <w:pStyle w:val="CGPC-elearning"/>
      </w:pPr>
      <w:r>
        <w:t>un compartiment pour les versements volontaires du salarié (compartiment 1).</w:t>
      </w:r>
    </w:p>
    <w:p w14:paraId="0048CE67" w14:textId="77777777" w:rsidR="00197C2B" w:rsidRDefault="00197C2B" w:rsidP="00FC0002">
      <w:pPr>
        <w:pStyle w:val="CGPC-elearning"/>
      </w:pPr>
      <w:r>
        <w:t>Le plan peut aussi être alimenté par des transferts de droits d’anciens produits (Perp, </w:t>
      </w:r>
      <w:r>
        <w:rPr>
          <w:rStyle w:val="Accentuation"/>
          <w:sz w:val="21"/>
          <w:szCs w:val="21"/>
        </w:rPr>
        <w:t>Madelin</w:t>
      </w:r>
      <w:r>
        <w:t>, « article 83 » ou en provenance d’un autre PER).</w:t>
      </w:r>
    </w:p>
    <w:p w14:paraId="0422F29B" w14:textId="77777777" w:rsidR="00197C2B" w:rsidRDefault="00197C2B" w:rsidP="00FC0002">
      <w:pPr>
        <w:pStyle w:val="CGPC-elearning"/>
      </w:pPr>
      <w:r>
        <w:t>Une entreprise a aussi la possibilité de regrouper en un seul plan d’épargne retraite un PER d’entreprise collectif et un PER obligatoire. Elle pourra, par exemple, mettre en place un PER d’entreprise collectif et le rendre obligatoire pour une ou plusieurs catégorie(s) de salariés qui devront alors effectuer des versements obligatoires.</w:t>
      </w:r>
    </w:p>
    <w:p w14:paraId="4BC1C5BA" w14:textId="77777777" w:rsidR="00197C2B" w:rsidRDefault="00197C2B" w:rsidP="00FC0002">
      <w:pPr>
        <w:pStyle w:val="CGPC-elearning"/>
      </w:pPr>
      <w:r>
        <w:t>Par ailleurs, des plans d’épargne interentreprises peuvent également être mis en place.</w:t>
      </w:r>
    </w:p>
    <w:p w14:paraId="0F7CC64C" w14:textId="69036458" w:rsidR="00221024" w:rsidRDefault="00221024" w:rsidP="00221024">
      <w:pPr>
        <w:pStyle w:val="CGPC-elearning"/>
        <w:jc w:val="center"/>
      </w:pPr>
      <w:r>
        <w:rPr>
          <w:noProof/>
        </w:rPr>
        <w:drawing>
          <wp:inline distT="0" distB="0" distL="0" distR="0" wp14:anchorId="422D6394" wp14:editId="63F9F912">
            <wp:extent cx="10233951" cy="4629150"/>
            <wp:effectExtent l="0" t="0" r="0" b="0"/>
            <wp:docPr id="1859962048" name="Image 22" descr="Une image contenant texte, capture d’écran, Police, nom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962048" name="Image 22" descr="Une image contenant texte, capture d’écran, Police, nombre"/>
                    <pic:cNvPicPr/>
                  </pic:nvPicPr>
                  <pic:blipFill>
                    <a:blip r:embed="rId35">
                      <a:extLst>
                        <a:ext uri="{28A0092B-C50C-407E-A947-70E740481C1C}">
                          <a14:useLocalDpi xmlns:a14="http://schemas.microsoft.com/office/drawing/2010/main" val="0"/>
                        </a:ext>
                      </a:extLst>
                    </a:blip>
                    <a:stretch>
                      <a:fillRect/>
                    </a:stretch>
                  </pic:blipFill>
                  <pic:spPr>
                    <a:xfrm>
                      <a:off x="0" y="0"/>
                      <a:ext cx="10235877" cy="4630021"/>
                    </a:xfrm>
                    <a:prstGeom prst="rect">
                      <a:avLst/>
                    </a:prstGeom>
                  </pic:spPr>
                </pic:pic>
              </a:graphicData>
            </a:graphic>
          </wp:inline>
        </w:drawing>
      </w:r>
    </w:p>
    <w:p w14:paraId="63CB593B" w14:textId="77777777" w:rsidR="00197C2B" w:rsidRDefault="00197C2B" w:rsidP="00FC0002">
      <w:pPr>
        <w:pStyle w:val="CGPC-elearning"/>
      </w:pPr>
      <w:r>
        <w:rPr>
          <w:bdr w:val="none" w:sz="0" w:space="0" w:color="auto" w:frame="1"/>
        </w:rPr>
        <w:lastRenderedPageBreak/>
        <w:t> </w:t>
      </w:r>
    </w:p>
    <w:p w14:paraId="0B2B0C45" w14:textId="51B4A666" w:rsidR="00197C2B" w:rsidRDefault="001F4976" w:rsidP="00FC0002">
      <w:pPr>
        <w:pStyle w:val="Titre4"/>
      </w:pPr>
      <w:r>
        <w:t>La d</w:t>
      </w:r>
      <w:r w:rsidR="00197C2B">
        <w:t>élivrance des droits</w:t>
      </w:r>
    </w:p>
    <w:p w14:paraId="0D8272C2" w14:textId="77777777" w:rsidR="00197C2B" w:rsidRDefault="00197C2B" w:rsidP="00FC0002">
      <w:pPr>
        <w:pStyle w:val="CGPC-elearning"/>
        <w:rPr>
          <w:rFonts w:ascii="Times New Roman" w:hAnsi="Times New Roman" w:cs="Times New Roman"/>
        </w:rPr>
      </w:pPr>
      <w:r>
        <w:t>À la date de liquidation, les droits correspondant aux versements obligatoires de l’employeur et du salarié sont délivrés sous la forme d’une rente viagère.</w:t>
      </w:r>
    </w:p>
    <w:p w14:paraId="60793F16" w14:textId="77777777" w:rsidR="00197C2B" w:rsidRDefault="00197C2B" w:rsidP="00FC0002">
      <w:pPr>
        <w:pStyle w:val="CGPC-elearning"/>
      </w:pPr>
      <w:r>
        <w:t>Les droits correspondants aux versements volontaires et à l’épargne salariale sont délivrés au choix du titulaire :</w:t>
      </w:r>
    </w:p>
    <w:p w14:paraId="26761B31" w14:textId="1A6069DA" w:rsidR="00197C2B" w:rsidRDefault="001F4976" w:rsidP="00FC0002">
      <w:pPr>
        <w:pStyle w:val="CGPC-elearning"/>
      </w:pPr>
      <w:r>
        <w:t xml:space="preserve">- </w:t>
      </w:r>
      <w:r w:rsidR="00197C2B">
        <w:t>sous la forme d’un capital, libéré en une fois ou de manière fractionnée (sauf lorsque le titulaire a opté irrévocablement pour la liquidation de ses droits en rente viagère à l’ouverture du plan) ;</w:t>
      </w:r>
    </w:p>
    <w:p w14:paraId="1BFDE55E" w14:textId="5174B11D" w:rsidR="00197C2B" w:rsidRDefault="001F4976" w:rsidP="00FC0002">
      <w:pPr>
        <w:pStyle w:val="CGPC-elearning"/>
      </w:pPr>
      <w:r>
        <w:t xml:space="preserve">- </w:t>
      </w:r>
      <w:r w:rsidR="00197C2B">
        <w:t>sous la forme d’une rente viagère.</w:t>
      </w:r>
    </w:p>
    <w:p w14:paraId="04BB9170" w14:textId="32D72B4F" w:rsidR="001F4976" w:rsidRDefault="00C119CF" w:rsidP="00FC0002">
      <w:pPr>
        <w:pStyle w:val="CGPC-elearning"/>
      </w:pPr>
      <w:r>
        <w:rPr>
          <w:noProof/>
        </w:rPr>
        <w:drawing>
          <wp:anchor distT="0" distB="0" distL="114300" distR="114300" simplePos="0" relativeHeight="251658240" behindDoc="0" locked="0" layoutInCell="1" allowOverlap="1" wp14:anchorId="687956BD" wp14:editId="0E46424C">
            <wp:simplePos x="0" y="0"/>
            <wp:positionH relativeFrom="column">
              <wp:posOffset>228600</wp:posOffset>
            </wp:positionH>
            <wp:positionV relativeFrom="paragraph">
              <wp:posOffset>369570</wp:posOffset>
            </wp:positionV>
            <wp:extent cx="5467350" cy="5906770"/>
            <wp:effectExtent l="0" t="0" r="0" b="0"/>
            <wp:wrapSquare wrapText="bothSides"/>
            <wp:docPr id="14644182" name="Image 24" descr="Une image contenant texte, carte, diagram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4182" name="Image 24" descr="Une image contenant texte, carte, diagramme"/>
                    <pic:cNvPicPr/>
                  </pic:nvPicPr>
                  <pic:blipFill>
                    <a:blip r:embed="rId36">
                      <a:extLst>
                        <a:ext uri="{28A0092B-C50C-407E-A947-70E740481C1C}">
                          <a14:useLocalDpi xmlns:a14="http://schemas.microsoft.com/office/drawing/2010/main" val="0"/>
                        </a:ext>
                      </a:extLst>
                    </a:blip>
                    <a:stretch>
                      <a:fillRect/>
                    </a:stretch>
                  </pic:blipFill>
                  <pic:spPr>
                    <a:xfrm>
                      <a:off x="0" y="0"/>
                      <a:ext cx="5467350" cy="5906770"/>
                    </a:xfrm>
                    <a:prstGeom prst="rect">
                      <a:avLst/>
                    </a:prstGeom>
                  </pic:spPr>
                </pic:pic>
              </a:graphicData>
            </a:graphic>
            <wp14:sizeRelH relativeFrom="margin">
              <wp14:pctWidth>0</wp14:pctWidth>
            </wp14:sizeRelH>
            <wp14:sizeRelV relativeFrom="margin">
              <wp14:pctHeight>0</wp14:pctHeight>
            </wp14:sizeRelV>
          </wp:anchor>
        </w:drawing>
      </w:r>
    </w:p>
    <w:p w14:paraId="76551452" w14:textId="5320F801" w:rsidR="00197C2B" w:rsidRDefault="00197C2B" w:rsidP="00FC0002">
      <w:pPr>
        <w:pStyle w:val="CGPC-elearning"/>
      </w:pPr>
      <w:r>
        <w:t>Les sommes versées sur le PER d’entreprise obligatoire sont bloquées jusqu’au moment du départ à la retraite du bénéficiaire.</w:t>
      </w:r>
    </w:p>
    <w:p w14:paraId="27A17096" w14:textId="77777777" w:rsidR="006B074D" w:rsidRDefault="006B074D" w:rsidP="00FC0002">
      <w:pPr>
        <w:pStyle w:val="CGPC-elearning"/>
      </w:pPr>
    </w:p>
    <w:p w14:paraId="38F99170" w14:textId="77777777" w:rsidR="00197C2B" w:rsidRDefault="00197C2B" w:rsidP="00FC0002">
      <w:pPr>
        <w:pStyle w:val="CGPC-elearning"/>
      </w:pPr>
      <w:r>
        <w:t>Toutefois, l’épargne peut être débloquée de façon anticipée en cas de survenance de certains événements :</w:t>
      </w:r>
    </w:p>
    <w:p w14:paraId="007B0222" w14:textId="77777777" w:rsidR="006B074D" w:rsidRDefault="006B074D" w:rsidP="00FC0002">
      <w:pPr>
        <w:pStyle w:val="CGPC-elearning"/>
      </w:pPr>
    </w:p>
    <w:p w14:paraId="594D5512" w14:textId="2AC71862" w:rsidR="00197C2B" w:rsidRDefault="001F4976" w:rsidP="00FC0002">
      <w:pPr>
        <w:pStyle w:val="CGPC-elearning"/>
      </w:pPr>
      <w:r>
        <w:t xml:space="preserve">- </w:t>
      </w:r>
      <w:r w:rsidR="00197C2B">
        <w:t>invalidité (du bénéficiaire, de ses enfants, son époux ou épouse ou du partenaire de pacs) ;</w:t>
      </w:r>
    </w:p>
    <w:p w14:paraId="06C57626" w14:textId="1B4686B0" w:rsidR="00197C2B" w:rsidRDefault="001F4976" w:rsidP="00FC0002">
      <w:pPr>
        <w:pStyle w:val="CGPC-elearning"/>
      </w:pPr>
      <w:r>
        <w:t xml:space="preserve">- </w:t>
      </w:r>
      <w:r w:rsidR="00197C2B">
        <w:t>décès de l’époux ou épouse ou du partenaire de pacs ;</w:t>
      </w:r>
    </w:p>
    <w:p w14:paraId="605244C7" w14:textId="7BA9CF1F" w:rsidR="00197C2B" w:rsidRDefault="001F4976" w:rsidP="00FC0002">
      <w:pPr>
        <w:pStyle w:val="CGPC-elearning"/>
      </w:pPr>
      <w:r>
        <w:t xml:space="preserve">- </w:t>
      </w:r>
      <w:r w:rsidR="00197C2B">
        <w:t>expiration des droits aux allocations de chômage ;</w:t>
      </w:r>
    </w:p>
    <w:p w14:paraId="4F25703E" w14:textId="3C7BD983" w:rsidR="00197C2B" w:rsidRDefault="001F4976" w:rsidP="00FC0002">
      <w:pPr>
        <w:pStyle w:val="CGPC-elearning"/>
      </w:pPr>
      <w:r>
        <w:t xml:space="preserve">- </w:t>
      </w:r>
      <w:r w:rsidR="00197C2B">
        <w:t>surendettement (dans ce cas, c’est la commission de surendettement qui doit écrire à l’organisme gestionnaire du PER) ;</w:t>
      </w:r>
    </w:p>
    <w:p w14:paraId="6A4FCE37" w14:textId="76545D2A" w:rsidR="00197C2B" w:rsidRDefault="001F4976" w:rsidP="00FC0002">
      <w:pPr>
        <w:pStyle w:val="CGPC-elearning"/>
      </w:pPr>
      <w:r>
        <w:t xml:space="preserve">- </w:t>
      </w:r>
      <w:r w:rsidR="00197C2B">
        <w:t>cessation d’activité non salariée à la suite d’un jugement de liquidation judiciaire ;</w:t>
      </w:r>
    </w:p>
    <w:p w14:paraId="12A71011" w14:textId="46A1F82A" w:rsidR="00C119CF" w:rsidRDefault="001F4976" w:rsidP="00FC0002">
      <w:pPr>
        <w:pStyle w:val="CGPC-elearning"/>
      </w:pPr>
      <w:r>
        <w:t xml:space="preserve">- </w:t>
      </w:r>
      <w:r w:rsidR="00197C2B">
        <w:t>achat de la résidence principale (sauf les sommes issues des versements obligatoires).</w:t>
      </w:r>
    </w:p>
    <w:p w14:paraId="4EBA5021" w14:textId="77777777" w:rsidR="00C119CF" w:rsidRDefault="00C119CF" w:rsidP="00C119CF">
      <w:pPr>
        <w:pStyle w:val="CGPC-elearning"/>
      </w:pPr>
      <w:r>
        <w:br w:type="page"/>
      </w:r>
    </w:p>
    <w:p w14:paraId="5D4F4F4C" w14:textId="77777777" w:rsidR="00197C2B" w:rsidRDefault="00197C2B" w:rsidP="00FC0002">
      <w:pPr>
        <w:pStyle w:val="CGPC-elearning"/>
      </w:pPr>
    </w:p>
    <w:p w14:paraId="2E2007DC" w14:textId="28000038" w:rsidR="00197C2B" w:rsidRDefault="001F4976" w:rsidP="00FC0002">
      <w:pPr>
        <w:pStyle w:val="Titre4"/>
      </w:pPr>
      <w:r>
        <w:t>Le r</w:t>
      </w:r>
      <w:r w:rsidR="00197C2B">
        <w:t>égime fiscal et social du PER obligatoire</w:t>
      </w:r>
    </w:p>
    <w:p w14:paraId="1DDA58CB" w14:textId="409DAFCE" w:rsidR="00197C2B" w:rsidRDefault="00197C2B" w:rsidP="00FC0002">
      <w:pPr>
        <w:pStyle w:val="Titre5"/>
        <w:numPr>
          <w:ilvl w:val="0"/>
          <w:numId w:val="5"/>
        </w:numPr>
      </w:pPr>
      <w:r>
        <w:t>Fiscalité à l’entrée</w:t>
      </w:r>
    </w:p>
    <w:p w14:paraId="7916E2D8" w14:textId="2524FD08" w:rsidR="0034375D" w:rsidRPr="0034375D" w:rsidRDefault="0034375D" w:rsidP="0034375D">
      <w:pPr>
        <w:rPr>
          <w:lang w:eastAsia="fr-FR"/>
        </w:rPr>
      </w:pPr>
      <w:r>
        <w:rPr>
          <w:noProof/>
          <w:szCs w:val="28"/>
        </w:rPr>
        <w:drawing>
          <wp:anchor distT="0" distB="0" distL="114300" distR="114300" simplePos="0" relativeHeight="251659264" behindDoc="0" locked="0" layoutInCell="1" allowOverlap="1" wp14:anchorId="32914D75" wp14:editId="65F019A4">
            <wp:simplePos x="0" y="0"/>
            <wp:positionH relativeFrom="column">
              <wp:posOffset>220345</wp:posOffset>
            </wp:positionH>
            <wp:positionV relativeFrom="paragraph">
              <wp:posOffset>355600</wp:posOffset>
            </wp:positionV>
            <wp:extent cx="5927725" cy="6418580"/>
            <wp:effectExtent l="0" t="0" r="0" b="1270"/>
            <wp:wrapSquare wrapText="bothSides"/>
            <wp:docPr id="726179827" name="Image 25" descr="Une image contenant texte, capture d’écran, Polic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179827" name="Image 25" descr="Une image contenant texte, capture d’écran, Police, conception&#10;&#10;Description générée automatiquement"/>
                    <pic:cNvPicPr/>
                  </pic:nvPicPr>
                  <pic:blipFill>
                    <a:blip r:embed="rId37">
                      <a:extLst>
                        <a:ext uri="{28A0092B-C50C-407E-A947-70E740481C1C}">
                          <a14:useLocalDpi xmlns:a14="http://schemas.microsoft.com/office/drawing/2010/main" val="0"/>
                        </a:ext>
                      </a:extLst>
                    </a:blip>
                    <a:stretch>
                      <a:fillRect/>
                    </a:stretch>
                  </pic:blipFill>
                  <pic:spPr>
                    <a:xfrm>
                      <a:off x="0" y="0"/>
                      <a:ext cx="5927725" cy="6418580"/>
                    </a:xfrm>
                    <a:prstGeom prst="rect">
                      <a:avLst/>
                    </a:prstGeom>
                  </pic:spPr>
                </pic:pic>
              </a:graphicData>
            </a:graphic>
            <wp14:sizeRelH relativeFrom="margin">
              <wp14:pctWidth>0</wp14:pctWidth>
            </wp14:sizeRelH>
            <wp14:sizeRelV relativeFrom="margin">
              <wp14:pctHeight>0</wp14:pctHeight>
            </wp14:sizeRelV>
          </wp:anchor>
        </w:drawing>
      </w:r>
    </w:p>
    <w:p w14:paraId="5C8D1D5D" w14:textId="2D4AAEE9" w:rsidR="00197C2B" w:rsidRPr="006B074D" w:rsidRDefault="00197C2B" w:rsidP="00FC0002">
      <w:pPr>
        <w:pStyle w:val="CGPC-elearning"/>
        <w:rPr>
          <w:rFonts w:ascii="Times New Roman" w:hAnsi="Times New Roman" w:cs="Times New Roman"/>
          <w:szCs w:val="28"/>
        </w:rPr>
      </w:pPr>
      <w:r w:rsidRPr="006B074D">
        <w:rPr>
          <w:szCs w:val="28"/>
        </w:rPr>
        <w:t>Les versements volontaires et obligatoires dans un PER d’entreprise au cours d’une année sont </w:t>
      </w:r>
      <w:r w:rsidRPr="006B074D">
        <w:rPr>
          <w:rStyle w:val="lev"/>
          <w:szCs w:val="28"/>
          <w:bdr w:val="none" w:sz="0" w:space="0" w:color="auto" w:frame="1"/>
        </w:rPr>
        <w:t>déductibles des revenus imposables</w:t>
      </w:r>
      <w:r w:rsidRPr="006B074D">
        <w:rPr>
          <w:szCs w:val="28"/>
        </w:rPr>
        <w:t> de cette année à condition que leur montant ne dépasse pas 8 % de la rémunération annuelle brute, plafonnée à 8 fois le PASS.</w:t>
      </w:r>
    </w:p>
    <w:p w14:paraId="2CAC6CC7" w14:textId="77777777" w:rsidR="00197C2B" w:rsidRPr="006B074D" w:rsidRDefault="00197C2B" w:rsidP="00FC0002">
      <w:pPr>
        <w:pStyle w:val="CGPC-elearning"/>
        <w:rPr>
          <w:szCs w:val="28"/>
        </w:rPr>
      </w:pPr>
      <w:r w:rsidRPr="006B074D">
        <w:rPr>
          <w:szCs w:val="28"/>
        </w:rPr>
        <w:t>Les cotisations de sécurité sociale obligatoires, qu’elles soient patronales ou salariales, sont exonérées de charges sociales pour une fraction n’excédant pas la plus élevée des deux valeurs suivantes :</w:t>
      </w:r>
    </w:p>
    <w:p w14:paraId="6DD5C8A9" w14:textId="77777777" w:rsidR="00197C2B" w:rsidRPr="006B074D" w:rsidRDefault="00197C2B" w:rsidP="00FC0002">
      <w:pPr>
        <w:pStyle w:val="CGPC-elearning"/>
        <w:rPr>
          <w:szCs w:val="28"/>
        </w:rPr>
      </w:pPr>
      <w:r w:rsidRPr="006B074D">
        <w:rPr>
          <w:szCs w:val="28"/>
        </w:rPr>
        <w:t>5 % du montant du plafond de la sécurité sociale ;</w:t>
      </w:r>
      <w:r w:rsidRPr="006B074D">
        <w:rPr>
          <w:szCs w:val="28"/>
        </w:rPr>
        <w:br/>
        <w:t>ou</w:t>
      </w:r>
    </w:p>
    <w:p w14:paraId="3D7FE857" w14:textId="77777777" w:rsidR="00197C2B" w:rsidRPr="006B074D" w:rsidRDefault="00197C2B" w:rsidP="00FC0002">
      <w:pPr>
        <w:pStyle w:val="CGPC-elearning"/>
        <w:rPr>
          <w:szCs w:val="28"/>
        </w:rPr>
      </w:pPr>
      <w:r w:rsidRPr="006B074D">
        <w:rPr>
          <w:szCs w:val="28"/>
        </w:rPr>
        <w:t>5 % de la rémunération du salarié soumise à cotisations, dans la limite de 5 PASS.</w:t>
      </w:r>
    </w:p>
    <w:p w14:paraId="6F012FA3" w14:textId="77777777" w:rsidR="00197C2B" w:rsidRPr="006B074D" w:rsidRDefault="00197C2B" w:rsidP="00FC0002">
      <w:pPr>
        <w:pStyle w:val="CGPC-elearning"/>
        <w:rPr>
          <w:szCs w:val="28"/>
        </w:rPr>
      </w:pPr>
      <w:r w:rsidRPr="006B074D">
        <w:rPr>
          <w:szCs w:val="28"/>
        </w:rPr>
        <w:t>Elles sont en revanche soumises au forfait social à un taux de 20 %. Ce taux est ramené à 16 % si le plan d’épargne retraite prévoit :</w:t>
      </w:r>
    </w:p>
    <w:p w14:paraId="1B8D7ED9" w14:textId="23153F3C" w:rsidR="00197C2B" w:rsidRPr="006B074D" w:rsidRDefault="001F4976" w:rsidP="00FC0002">
      <w:pPr>
        <w:pStyle w:val="CGPC-elearning"/>
        <w:rPr>
          <w:szCs w:val="28"/>
        </w:rPr>
      </w:pPr>
      <w:r w:rsidRPr="006B074D">
        <w:rPr>
          <w:szCs w:val="28"/>
        </w:rPr>
        <w:t xml:space="preserve">- </w:t>
      </w:r>
      <w:r w:rsidR="00197C2B" w:rsidRPr="006B074D">
        <w:rPr>
          <w:szCs w:val="28"/>
        </w:rPr>
        <w:t>une gestion pilotée par défaut ;</w:t>
      </w:r>
    </w:p>
    <w:p w14:paraId="1E47FD69" w14:textId="3CD953ED" w:rsidR="00197C2B" w:rsidRPr="006B074D" w:rsidRDefault="009D3ACC" w:rsidP="00FC0002">
      <w:pPr>
        <w:pStyle w:val="CGPC-elearning"/>
        <w:rPr>
          <w:szCs w:val="28"/>
        </w:rPr>
      </w:pPr>
      <w:r w:rsidRPr="006B074D">
        <w:rPr>
          <w:szCs w:val="28"/>
        </w:rPr>
        <w:t xml:space="preserve">- </w:t>
      </w:r>
      <w:r w:rsidR="00197C2B" w:rsidRPr="006B074D">
        <w:rPr>
          <w:szCs w:val="28"/>
        </w:rPr>
        <w:t>et un investissement d’une fraction des sommes investies par chaque salarié à hauteur d’au moins 10 % sur des titres de petites et moyennes entreprises (PME) et d’entreprises de taille intermédiaire (ETI) éligibles au PEA-PME.</w:t>
      </w:r>
    </w:p>
    <w:p w14:paraId="4AD16FEC" w14:textId="4970A16A" w:rsidR="00197C2B" w:rsidRPr="006B074D" w:rsidRDefault="00197C2B" w:rsidP="00610771">
      <w:pPr>
        <w:rPr>
          <w:szCs w:val="28"/>
        </w:rPr>
      </w:pPr>
      <w:r w:rsidRPr="006B074D">
        <w:rPr>
          <w:b/>
          <w:noProof/>
          <w:szCs w:val="28"/>
          <w:bdr w:val="none" w:sz="0" w:space="0" w:color="auto" w:frame="1"/>
          <w:lang w:eastAsia="fr-FR"/>
        </w:rPr>
        <w:drawing>
          <wp:inline distT="0" distB="0" distL="0" distR="0" wp14:anchorId="4C516C51" wp14:editId="3E973247">
            <wp:extent cx="189865" cy="189865"/>
            <wp:effectExtent l="0" t="0" r="635" b="635"/>
            <wp:docPr id="2558552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6B074D">
        <w:rPr>
          <w:rStyle w:val="Accentuation"/>
          <w:szCs w:val="28"/>
        </w:rPr>
        <w:t>À noter : depuis 1</w:t>
      </w:r>
      <w:r w:rsidRPr="006B074D">
        <w:rPr>
          <w:rStyle w:val="Accentuation"/>
          <w:szCs w:val="28"/>
          <w:vertAlign w:val="superscript"/>
        </w:rPr>
        <w:t>er</w:t>
      </w:r>
      <w:r w:rsidRPr="006B074D">
        <w:rPr>
          <w:rStyle w:val="Accentuation"/>
          <w:szCs w:val="28"/>
        </w:rPr>
        <w:t> </w:t>
      </w:r>
      <w:r w:rsidRPr="00610771">
        <w:t>janvier</w:t>
      </w:r>
      <w:r w:rsidRPr="006B074D">
        <w:rPr>
          <w:rStyle w:val="Accentuation"/>
          <w:szCs w:val="28"/>
        </w:rPr>
        <w:t xml:space="preserve"> 2019, le forfait social, c’est-à-dire la contribution patronale de 20 %, est supprimé :</w:t>
      </w:r>
    </w:p>
    <w:p w14:paraId="5FBF9536" w14:textId="77777777" w:rsidR="00197C2B" w:rsidRPr="006B074D" w:rsidRDefault="00197C2B" w:rsidP="00FC0002">
      <w:pPr>
        <w:pStyle w:val="CGPC-elearning"/>
        <w:rPr>
          <w:szCs w:val="28"/>
        </w:rPr>
      </w:pPr>
      <w:r w:rsidRPr="006B074D">
        <w:rPr>
          <w:rStyle w:val="Accentuation"/>
          <w:szCs w:val="28"/>
        </w:rPr>
        <w:t>sur l’intéressement, pour les entreprises de moins de 250 salariés ;</w:t>
      </w:r>
    </w:p>
    <w:p w14:paraId="53CC28B6" w14:textId="77777777" w:rsidR="00197C2B" w:rsidRPr="006B074D" w:rsidRDefault="00197C2B" w:rsidP="00FC0002">
      <w:pPr>
        <w:pStyle w:val="CGPC-elearning"/>
        <w:rPr>
          <w:szCs w:val="28"/>
        </w:rPr>
      </w:pPr>
      <w:r w:rsidRPr="006B074D">
        <w:rPr>
          <w:rStyle w:val="Accentuation"/>
          <w:szCs w:val="28"/>
        </w:rPr>
        <w:t>sur la participation et l’abondement employeur pour les entreprises de moins de 50 salariés.</w:t>
      </w:r>
    </w:p>
    <w:p w14:paraId="78757DE4" w14:textId="77777777" w:rsidR="009D3ACC" w:rsidRPr="006B074D" w:rsidRDefault="009D3ACC" w:rsidP="00FC0002">
      <w:pPr>
        <w:pStyle w:val="CGPC-elearning"/>
        <w:rPr>
          <w:szCs w:val="28"/>
        </w:rPr>
      </w:pPr>
    </w:p>
    <w:p w14:paraId="5A429DC4" w14:textId="77777777" w:rsidR="00197C2B" w:rsidRPr="006B074D" w:rsidRDefault="00197C2B" w:rsidP="00FC0002">
      <w:pPr>
        <w:pStyle w:val="CGPC-elearning"/>
        <w:rPr>
          <w:szCs w:val="28"/>
        </w:rPr>
      </w:pPr>
      <w:r w:rsidRPr="006B074D">
        <w:rPr>
          <w:szCs w:val="28"/>
        </w:rPr>
        <w:lastRenderedPageBreak/>
        <w:t>Les versements dans un PER de sommes et droits issus de l’épargne salariale en entreprise (intéressement, participation, abondements employeurs) sont exonérés d’impôt sur le revenu.</w:t>
      </w:r>
    </w:p>
    <w:p w14:paraId="48AB4544" w14:textId="77777777" w:rsidR="00197C2B" w:rsidRPr="006B074D" w:rsidRDefault="00197C2B" w:rsidP="00FC0002">
      <w:pPr>
        <w:pStyle w:val="CGPC-elearning"/>
        <w:rPr>
          <w:szCs w:val="28"/>
        </w:rPr>
      </w:pPr>
      <w:r w:rsidRPr="006B074D">
        <w:rPr>
          <w:rStyle w:val="Accentuation"/>
          <w:szCs w:val="28"/>
        </w:rPr>
        <w:t>En rappel :</w:t>
      </w:r>
      <w:r w:rsidRPr="006B074D">
        <w:rPr>
          <w:szCs w:val="28"/>
        </w:rPr>
        <w:t> </w:t>
      </w:r>
      <w:r w:rsidRPr="006B074D">
        <w:rPr>
          <w:rStyle w:val="Accentuation"/>
          <w:szCs w:val="28"/>
        </w:rPr>
        <w:t>le montant de l’abondement ne peut pas dépasser 3 fois le montant du versement du salarié (participation, intéressement, versements volontaires) dans la limite du plafond maximum de 16 % du PASS.</w:t>
      </w:r>
    </w:p>
    <w:p w14:paraId="6D8D0C1B" w14:textId="0CD2B730" w:rsidR="00197C2B" w:rsidRDefault="00A03C81" w:rsidP="00FC0002">
      <w:pPr>
        <w:pStyle w:val="Titre5"/>
      </w:pPr>
      <w:r>
        <w:rPr>
          <w:noProof/>
        </w:rPr>
        <w:drawing>
          <wp:anchor distT="0" distB="0" distL="114300" distR="114300" simplePos="0" relativeHeight="251661312" behindDoc="0" locked="0" layoutInCell="1" allowOverlap="1" wp14:anchorId="47950DF0" wp14:editId="0AB00B2B">
            <wp:simplePos x="0" y="0"/>
            <wp:positionH relativeFrom="column">
              <wp:posOffset>220345</wp:posOffset>
            </wp:positionH>
            <wp:positionV relativeFrom="paragraph">
              <wp:posOffset>721995</wp:posOffset>
            </wp:positionV>
            <wp:extent cx="7341235" cy="4808220"/>
            <wp:effectExtent l="0" t="0" r="0" b="0"/>
            <wp:wrapSquare wrapText="bothSides"/>
            <wp:docPr id="1528294877" name="Image 26" descr="Une image contenant texte, capture d’écran, Polic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294877" name="Image 26" descr="Une image contenant texte, capture d’écran, Police, logo"/>
                    <pic:cNvPicPr/>
                  </pic:nvPicPr>
                  <pic:blipFill>
                    <a:blip r:embed="rId38">
                      <a:extLst>
                        <a:ext uri="{28A0092B-C50C-407E-A947-70E740481C1C}">
                          <a14:useLocalDpi xmlns:a14="http://schemas.microsoft.com/office/drawing/2010/main" val="0"/>
                        </a:ext>
                      </a:extLst>
                    </a:blip>
                    <a:stretch>
                      <a:fillRect/>
                    </a:stretch>
                  </pic:blipFill>
                  <pic:spPr>
                    <a:xfrm>
                      <a:off x="0" y="0"/>
                      <a:ext cx="7341235" cy="4808220"/>
                    </a:xfrm>
                    <a:prstGeom prst="rect">
                      <a:avLst/>
                    </a:prstGeom>
                  </pic:spPr>
                </pic:pic>
              </a:graphicData>
            </a:graphic>
            <wp14:sizeRelH relativeFrom="margin">
              <wp14:pctWidth>0</wp14:pctWidth>
            </wp14:sizeRelH>
            <wp14:sizeRelV relativeFrom="margin">
              <wp14:pctHeight>0</wp14:pctHeight>
            </wp14:sizeRelV>
          </wp:anchor>
        </w:drawing>
      </w:r>
      <w:r w:rsidR="00197C2B">
        <w:t>Fiscalité à la sortie</w:t>
      </w:r>
    </w:p>
    <w:p w14:paraId="57164FCF" w14:textId="33CAF982" w:rsidR="00197C2B" w:rsidRDefault="00197C2B" w:rsidP="00FC0002">
      <w:pPr>
        <w:pStyle w:val="CGPC-elearning"/>
        <w:rPr>
          <w:rFonts w:ascii="Times New Roman" w:hAnsi="Times New Roman" w:cs="Times New Roman"/>
        </w:rPr>
      </w:pPr>
      <w:r>
        <w:t>Pour les sommes issues de versements obligatoires – versements obligatoires de l’employeur, versements obligatoires du salarié –, c’est-à-dire celles figurant dans le compartiment 3, la sortie ne peut s’effectuer que sous forme de rente viagère.</w:t>
      </w:r>
    </w:p>
    <w:p w14:paraId="0E00968A" w14:textId="77777777" w:rsidR="00197C2B" w:rsidRDefault="00197C2B" w:rsidP="00FC0002">
      <w:pPr>
        <w:pStyle w:val="CGPC-elearning"/>
      </w:pPr>
      <w:r>
        <w:t>Cette rente est imposée normalement, comme une pension de retraite, à l’impôt sur le revenu, après un abattement de 10 %. Elle est aussi soumise à prélèvements sociaux au taux de 10,1 %.</w:t>
      </w:r>
    </w:p>
    <w:p w14:paraId="479BD38C" w14:textId="77777777" w:rsidR="00197C2B" w:rsidRDefault="00197C2B" w:rsidP="00FC0002">
      <w:pPr>
        <w:pStyle w:val="CGPC-elearning"/>
      </w:pPr>
      <w:r>
        <w:t>Dans certains cas, lorsque le montant de rentes est inférieur à 100 euros par mois, la rente peut être versée sous forme de capital. Dans ce cas, le capital perçu est soumis :</w:t>
      </w:r>
    </w:p>
    <w:p w14:paraId="400F6A2A" w14:textId="4E6B8904" w:rsidR="00197C2B" w:rsidRDefault="009D3ACC" w:rsidP="00FC0002">
      <w:pPr>
        <w:pStyle w:val="CGPC-elearning"/>
      </w:pPr>
      <w:r>
        <w:t xml:space="preserve">- </w:t>
      </w:r>
      <w:r w:rsidR="00197C2B">
        <w:t>pour la part correspondant aux cotisations versées : à l’impôt sur le revenu, sans abattement des 10 % ;</w:t>
      </w:r>
    </w:p>
    <w:p w14:paraId="2A68B1F7" w14:textId="3826B8F0" w:rsidR="00197C2B" w:rsidRDefault="009D3ACC" w:rsidP="00FC0002">
      <w:pPr>
        <w:pStyle w:val="CGPC-elearning"/>
      </w:pPr>
      <w:r>
        <w:t xml:space="preserve">- </w:t>
      </w:r>
      <w:r w:rsidR="00197C2B">
        <w:t>pour la part correspondant aux gains : au PFU de 30 % (12,8 % au titre de l’impôt sur le revenu et 17,2 % au titre des prélèvements sociaux).</w:t>
      </w:r>
    </w:p>
    <w:p w14:paraId="0D800901" w14:textId="77777777" w:rsidR="00197C2B" w:rsidRDefault="00197C2B" w:rsidP="00FC0002">
      <w:pPr>
        <w:pStyle w:val="CGPC-elearning"/>
      </w:pPr>
      <w:r>
        <w:t>Dans le cas de déblocage anticipé, il n’y a pas d’impôt sur le revenu ni de prélèvements sociaux dans ces cas-là. Seuls les intérêts produits par le capital perçu sont soumis aux prélèvements sociaux au taux de 17,20 %.</w:t>
      </w:r>
    </w:p>
    <w:p w14:paraId="03E62EA7" w14:textId="77777777" w:rsidR="00197C2B" w:rsidRDefault="00197C2B" w:rsidP="00FC0002">
      <w:pPr>
        <w:pStyle w:val="CGPC-elearning"/>
      </w:pPr>
      <w:r>
        <w:t>À noter : le déblocage anticipé pour achat de la résidence principale n’est pas possible pour les sommes logées dans le compartiment 3 (v. </w:t>
      </w:r>
      <w:r>
        <w:rPr>
          <w:rStyle w:val="Accentuation"/>
          <w:sz w:val="21"/>
          <w:szCs w:val="21"/>
        </w:rPr>
        <w:t>infra</w:t>
      </w:r>
      <w:r>
        <w:t> le récapitulatif).</w:t>
      </w:r>
    </w:p>
    <w:p w14:paraId="238A72F9" w14:textId="77777777" w:rsidR="001B5802" w:rsidRDefault="001B5802" w:rsidP="00FC0002">
      <w:pPr>
        <w:pStyle w:val="CGPC-elearning"/>
      </w:pPr>
    </w:p>
    <w:p w14:paraId="11CA8199" w14:textId="77777777" w:rsidR="001B5802" w:rsidRDefault="001B5802" w:rsidP="00FC0002">
      <w:pPr>
        <w:pStyle w:val="CGPC-elearning"/>
      </w:pPr>
    </w:p>
    <w:p w14:paraId="7CC06D7A" w14:textId="77777777" w:rsidR="001B5802" w:rsidRDefault="001B5802" w:rsidP="00FC0002">
      <w:pPr>
        <w:pStyle w:val="CGPC-elearning"/>
      </w:pPr>
    </w:p>
    <w:p w14:paraId="6D474B42" w14:textId="77777777" w:rsidR="001B5802" w:rsidRDefault="001B5802" w:rsidP="00FC0002">
      <w:pPr>
        <w:pStyle w:val="CGPC-elearning"/>
      </w:pPr>
    </w:p>
    <w:p w14:paraId="38511E9A" w14:textId="77777777" w:rsidR="001B5802" w:rsidRDefault="001B5802" w:rsidP="00FC0002">
      <w:pPr>
        <w:pStyle w:val="CGPC-elearning"/>
      </w:pPr>
    </w:p>
    <w:p w14:paraId="29746F48" w14:textId="77777777" w:rsidR="000A60F2" w:rsidRDefault="000A60F2" w:rsidP="00FC0002">
      <w:pPr>
        <w:pStyle w:val="CGPC-elearning"/>
      </w:pPr>
    </w:p>
    <w:p w14:paraId="3098747E" w14:textId="6EBF0C80" w:rsidR="00197C2B" w:rsidRDefault="00197C2B" w:rsidP="00B42E87">
      <w:pPr>
        <w:pStyle w:val="NormalWeb"/>
        <w:spacing w:before="0" w:beforeAutospacing="0" w:after="0" w:afterAutospacing="0"/>
        <w:jc w:val="center"/>
        <w:textAlignment w:val="baseline"/>
        <w:rPr>
          <w:sz w:val="21"/>
          <w:szCs w:val="21"/>
        </w:rPr>
      </w:pPr>
      <w:r>
        <w:rPr>
          <w:noProof/>
          <w:sz w:val="21"/>
          <w:szCs w:val="21"/>
        </w:rPr>
        <w:drawing>
          <wp:inline distT="0" distB="0" distL="0" distR="0" wp14:anchorId="6AB5409B" wp14:editId="486CA988">
            <wp:extent cx="6383520" cy="6495393"/>
            <wp:effectExtent l="0" t="0" r="0" b="1270"/>
            <wp:docPr id="187855848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94770" cy="6506840"/>
                    </a:xfrm>
                    <a:prstGeom prst="rect">
                      <a:avLst/>
                    </a:prstGeom>
                    <a:noFill/>
                    <a:ln>
                      <a:noFill/>
                    </a:ln>
                  </pic:spPr>
                </pic:pic>
              </a:graphicData>
            </a:graphic>
          </wp:inline>
        </w:drawing>
      </w:r>
    </w:p>
    <w:p w14:paraId="2EF46461" w14:textId="438DB3FA" w:rsidR="00A47AC9" w:rsidRDefault="00A47AC9">
      <w:pPr>
        <w:jc w:val="left"/>
      </w:pPr>
      <w:r>
        <w:br w:type="page"/>
      </w:r>
    </w:p>
    <w:p w14:paraId="63B9C59C" w14:textId="3EE35733" w:rsidR="00197C2B" w:rsidRDefault="00197C2B" w:rsidP="00FC0002">
      <w:pPr>
        <w:pStyle w:val="Titre3"/>
        <w:rPr>
          <w:szCs w:val="36"/>
        </w:rPr>
      </w:pPr>
      <w:bookmarkStart w:id="10" w:name="_Toc186712247"/>
      <w:r>
        <w:lastRenderedPageBreak/>
        <w:t>Le plan d’épargne retraite d’entreprise collectif (</w:t>
      </w:r>
      <w:proofErr w:type="spellStart"/>
      <w:r>
        <w:t>PERco</w:t>
      </w:r>
      <w:proofErr w:type="spellEnd"/>
      <w:r>
        <w:t>)</w:t>
      </w:r>
      <w:bookmarkEnd w:id="10"/>
    </w:p>
    <w:p w14:paraId="5C183D21" w14:textId="77777777" w:rsidR="00286C1B" w:rsidRDefault="00286C1B" w:rsidP="00FC0002">
      <w:pPr>
        <w:pStyle w:val="CGPC-elearning"/>
        <w:rPr>
          <w:szCs w:val="28"/>
        </w:rPr>
        <w:sectPr w:rsidR="00286C1B" w:rsidSect="00AC29AB">
          <w:type w:val="continuous"/>
          <w:pgSz w:w="23811" w:h="16838" w:orient="landscape" w:code="8"/>
          <w:pgMar w:top="1440" w:right="1440" w:bottom="1440" w:left="1440" w:header="720" w:footer="720" w:gutter="0"/>
          <w:pgNumType w:start="0"/>
          <w:cols w:space="720"/>
          <w:titlePg/>
          <w:docGrid w:linePitch="360"/>
        </w:sectPr>
      </w:pPr>
    </w:p>
    <w:p w14:paraId="5293C24D" w14:textId="77777777" w:rsidR="009D3ACC" w:rsidRPr="00286C1B" w:rsidRDefault="00197C2B" w:rsidP="00FC0002">
      <w:pPr>
        <w:pStyle w:val="CGPC-elearning"/>
        <w:rPr>
          <w:szCs w:val="28"/>
        </w:rPr>
      </w:pPr>
      <w:r w:rsidRPr="00286C1B">
        <w:rPr>
          <w:szCs w:val="28"/>
        </w:rPr>
        <w:t>Le plan d’épargne retraite d’entreprise collectif (</w:t>
      </w:r>
      <w:proofErr w:type="spellStart"/>
      <w:r w:rsidRPr="00286C1B">
        <w:rPr>
          <w:szCs w:val="28"/>
        </w:rPr>
        <w:t>PERco</w:t>
      </w:r>
      <w:proofErr w:type="spellEnd"/>
      <w:r w:rsidRPr="00286C1B">
        <w:rPr>
          <w:szCs w:val="28"/>
        </w:rPr>
        <w:t>) a remplacé le plan d’épargne pour la retraite collectif (Perco) depuis le 1</w:t>
      </w:r>
      <w:r w:rsidRPr="00286C1B">
        <w:rPr>
          <w:szCs w:val="28"/>
          <w:bdr w:val="none" w:sz="0" w:space="0" w:color="auto" w:frame="1"/>
          <w:vertAlign w:val="superscript"/>
        </w:rPr>
        <w:t>er</w:t>
      </w:r>
      <w:r w:rsidRPr="00286C1B">
        <w:rPr>
          <w:szCs w:val="28"/>
        </w:rPr>
        <w:t xml:space="preserve"> octobre 2020. Les Perco qui n’auraient pas été transférés dans un </w:t>
      </w:r>
      <w:proofErr w:type="spellStart"/>
      <w:r w:rsidRPr="00286C1B">
        <w:rPr>
          <w:szCs w:val="28"/>
        </w:rPr>
        <w:t>PERco</w:t>
      </w:r>
      <w:proofErr w:type="spellEnd"/>
      <w:r w:rsidRPr="00286C1B">
        <w:rPr>
          <w:szCs w:val="28"/>
        </w:rPr>
        <w:t xml:space="preserve"> subsistent. </w:t>
      </w:r>
      <w:r w:rsidR="009D3ACC" w:rsidRPr="00286C1B">
        <w:rPr>
          <w:szCs w:val="28"/>
        </w:rPr>
        <w:br/>
      </w:r>
      <w:r w:rsidRPr="00286C1B">
        <w:rPr>
          <w:szCs w:val="28"/>
        </w:rPr>
        <w:t xml:space="preserve">Les deux systèmes visent à permettre aux salariés d’épargner pour leur retraite et obéissent à des règles proches. Dans les deux cas, ils peuvent être abondés par l’épargne constituée au titre de l’intéressement ou de la participation, par des versements volontaires des salariés ou par l’entreprise. </w:t>
      </w:r>
    </w:p>
    <w:p w14:paraId="68DEE895" w14:textId="0991F0C6" w:rsidR="00197C2B" w:rsidRPr="00286C1B" w:rsidRDefault="00197C2B" w:rsidP="00FC0002">
      <w:pPr>
        <w:pStyle w:val="CGPC-elearning"/>
        <w:rPr>
          <w:rFonts w:ascii="Times New Roman" w:hAnsi="Times New Roman" w:cs="Times New Roman"/>
          <w:szCs w:val="28"/>
        </w:rPr>
      </w:pPr>
      <w:r w:rsidRPr="00286C1B">
        <w:rPr>
          <w:szCs w:val="28"/>
        </w:rPr>
        <w:t>L’épargne est en principe bloquée jusqu’au départ en retraite, mais il existe des cas de déblocage anticipé (invalidité, surendettement, acquisition de la résidence principale…).</w:t>
      </w:r>
    </w:p>
    <w:p w14:paraId="4A8D8015" w14:textId="77777777" w:rsidR="00197C2B" w:rsidRPr="00286C1B" w:rsidRDefault="00197C2B" w:rsidP="00FC0002">
      <w:pPr>
        <w:pStyle w:val="CGPC-elearning"/>
        <w:rPr>
          <w:szCs w:val="28"/>
        </w:rPr>
      </w:pPr>
      <w:r w:rsidRPr="00286C1B">
        <w:rPr>
          <w:szCs w:val="28"/>
        </w:rPr>
        <w:t xml:space="preserve">Les sommes versées par les salariés sur un </w:t>
      </w:r>
      <w:proofErr w:type="spellStart"/>
      <w:r w:rsidRPr="00286C1B">
        <w:rPr>
          <w:szCs w:val="28"/>
        </w:rPr>
        <w:t>PERco</w:t>
      </w:r>
      <w:proofErr w:type="spellEnd"/>
      <w:r w:rsidRPr="00286C1B">
        <w:rPr>
          <w:szCs w:val="28"/>
        </w:rPr>
        <w:t xml:space="preserve"> sont déductibles de leurs revenus imposables, ce qui n’est pas le cas pour un Perco. Lors de la retraite, la sortie en capital n’est pas fiscalisée (mais reste soumise à des prélèvements sociaux). En revanche, la sortie sous forme de rente viagère conduit à l’imposition d’une fraction des sommes versées.</w:t>
      </w:r>
    </w:p>
    <w:p w14:paraId="31778B4F" w14:textId="77777777" w:rsidR="00197C2B" w:rsidRPr="00286C1B" w:rsidRDefault="00197C2B" w:rsidP="00FC0002">
      <w:pPr>
        <w:pStyle w:val="CGPC-elearning"/>
        <w:rPr>
          <w:szCs w:val="28"/>
        </w:rPr>
      </w:pPr>
      <w:r w:rsidRPr="00286C1B">
        <w:rPr>
          <w:szCs w:val="28"/>
        </w:rPr>
        <w:t xml:space="preserve">Le régime fiscal et social du </w:t>
      </w:r>
      <w:proofErr w:type="spellStart"/>
      <w:r w:rsidRPr="00286C1B">
        <w:rPr>
          <w:szCs w:val="28"/>
        </w:rPr>
        <w:t>PERco</w:t>
      </w:r>
      <w:proofErr w:type="spellEnd"/>
      <w:r w:rsidRPr="00286C1B">
        <w:rPr>
          <w:szCs w:val="28"/>
        </w:rPr>
        <w:t xml:space="preserve"> est identique à celui du PER obligatoire.</w:t>
      </w:r>
    </w:p>
    <w:p w14:paraId="52281BD5" w14:textId="1E5203C9" w:rsidR="00197C2B" w:rsidRDefault="00BF6145" w:rsidP="00FC0002">
      <w:pPr>
        <w:pStyle w:val="CGPC-elearning"/>
        <w:rPr>
          <w:rStyle w:val="Accentuation"/>
          <w:szCs w:val="28"/>
        </w:rPr>
      </w:pPr>
      <w:r>
        <w:rPr>
          <w:szCs w:val="28"/>
        </w:rPr>
        <w:pict w14:anchorId="5ACF8971">
          <v:shape id="_x0000_i1026" type="#_x0000_t75" style="width:14.9pt;height:14.9pt;visibility:visible;mso-wrap-style:square" o:bullet="t">
            <v:imagedata r:id="rId40" o:title=""/>
          </v:shape>
        </w:pict>
      </w:r>
      <w:r w:rsidR="00197C2B" w:rsidRPr="00286C1B">
        <w:rPr>
          <w:szCs w:val="28"/>
        </w:rPr>
        <w:t> </w:t>
      </w:r>
      <w:r w:rsidR="00197C2B" w:rsidRPr="00286C1B">
        <w:rPr>
          <w:rStyle w:val="lev"/>
          <w:i/>
          <w:iCs/>
          <w:szCs w:val="28"/>
          <w:u w:val="single"/>
          <w:bdr w:val="none" w:sz="0" w:space="0" w:color="auto" w:frame="1"/>
        </w:rPr>
        <w:t>À noter :</w:t>
      </w:r>
      <w:r w:rsidR="00197C2B" w:rsidRPr="00286C1B">
        <w:rPr>
          <w:szCs w:val="28"/>
        </w:rPr>
        <w:t> </w:t>
      </w:r>
      <w:r w:rsidR="00197C2B" w:rsidRPr="00286C1B">
        <w:rPr>
          <w:rStyle w:val="Accentuation"/>
          <w:szCs w:val="28"/>
        </w:rPr>
        <w:t>que le PER soit obligatoire, collectif (</w:t>
      </w:r>
      <w:proofErr w:type="spellStart"/>
      <w:r w:rsidR="00197C2B" w:rsidRPr="00286C1B">
        <w:rPr>
          <w:rStyle w:val="Accentuation"/>
          <w:szCs w:val="28"/>
        </w:rPr>
        <w:t>PERco</w:t>
      </w:r>
      <w:proofErr w:type="spellEnd"/>
      <w:r w:rsidR="00197C2B" w:rsidRPr="00286C1B">
        <w:rPr>
          <w:rStyle w:val="Accentuation"/>
          <w:szCs w:val="28"/>
        </w:rPr>
        <w:t>) ou individuel (</w:t>
      </w:r>
      <w:proofErr w:type="spellStart"/>
      <w:r w:rsidR="00197C2B" w:rsidRPr="00286C1B">
        <w:rPr>
          <w:rStyle w:val="Accentuation"/>
          <w:szCs w:val="28"/>
        </w:rPr>
        <w:t>PERin</w:t>
      </w:r>
      <w:proofErr w:type="spellEnd"/>
      <w:r w:rsidR="00197C2B" w:rsidRPr="00286C1B">
        <w:rPr>
          <w:rStyle w:val="Accentuation"/>
          <w:szCs w:val="28"/>
        </w:rPr>
        <w:t>), la fiscalité applicable est la même et dépend non de la nature du plan, mais de l’origine des versements l’ayant alimenté : épargne volontaire, épargne salariale et épargne obligatoire. Ces trois sources conduisent chaque plan à avoir trois compartiments d’épargne.</w:t>
      </w:r>
    </w:p>
    <w:p w14:paraId="28EDF9B3" w14:textId="77777777" w:rsidR="00286C1B" w:rsidRDefault="00286C1B" w:rsidP="00286C1B">
      <w:pPr>
        <w:pStyle w:val="CGPC-elearning"/>
        <w:jc w:val="center"/>
        <w:rPr>
          <w:rStyle w:val="Accentuation"/>
          <w:szCs w:val="28"/>
        </w:rPr>
        <w:sectPr w:rsidR="00286C1B" w:rsidSect="00286C1B">
          <w:type w:val="continuous"/>
          <w:pgSz w:w="23811" w:h="16838" w:orient="landscape" w:code="8"/>
          <w:pgMar w:top="1440" w:right="1440" w:bottom="1440" w:left="1440" w:header="720" w:footer="720" w:gutter="0"/>
          <w:pgNumType w:start="0"/>
          <w:cols w:num="2" w:space="720"/>
          <w:titlePg/>
          <w:docGrid w:linePitch="360"/>
        </w:sectPr>
      </w:pPr>
    </w:p>
    <w:p w14:paraId="4BBC3D33" w14:textId="24752A9D" w:rsidR="00286C1B" w:rsidRPr="00286C1B" w:rsidRDefault="00286C1B" w:rsidP="00286C1B">
      <w:pPr>
        <w:pStyle w:val="CGPC-elearning"/>
        <w:jc w:val="center"/>
        <w:rPr>
          <w:rStyle w:val="Accentuation"/>
          <w:szCs w:val="28"/>
        </w:rPr>
      </w:pPr>
      <w:r>
        <w:rPr>
          <w:i/>
          <w:iCs/>
          <w:noProof/>
          <w:szCs w:val="28"/>
        </w:rPr>
        <w:drawing>
          <wp:inline distT="0" distB="0" distL="0" distR="0" wp14:anchorId="3DF081C2" wp14:editId="1B91FE88">
            <wp:extent cx="9447290" cy="5076496"/>
            <wp:effectExtent l="0" t="0" r="1905" b="0"/>
            <wp:docPr id="1168298276" name="Image 27" descr="Une image contenant texte, capture d’écran, Police, conce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298276" name="Image 27" descr="Une image contenant texte, capture d’écran, Police, conception"/>
                    <pic:cNvPicPr/>
                  </pic:nvPicPr>
                  <pic:blipFill>
                    <a:blip r:embed="rId41">
                      <a:extLst>
                        <a:ext uri="{28A0092B-C50C-407E-A947-70E740481C1C}">
                          <a14:useLocalDpi xmlns:a14="http://schemas.microsoft.com/office/drawing/2010/main" val="0"/>
                        </a:ext>
                      </a:extLst>
                    </a:blip>
                    <a:stretch>
                      <a:fillRect/>
                    </a:stretch>
                  </pic:blipFill>
                  <pic:spPr>
                    <a:xfrm>
                      <a:off x="0" y="0"/>
                      <a:ext cx="9462309" cy="5084566"/>
                    </a:xfrm>
                    <a:prstGeom prst="rect">
                      <a:avLst/>
                    </a:prstGeom>
                  </pic:spPr>
                </pic:pic>
              </a:graphicData>
            </a:graphic>
          </wp:inline>
        </w:drawing>
      </w:r>
    </w:p>
    <w:p w14:paraId="7BE628C6" w14:textId="77777777" w:rsidR="000A60F2" w:rsidRDefault="000A60F2" w:rsidP="00197C2B">
      <w:pPr>
        <w:pStyle w:val="NormalWeb"/>
        <w:spacing w:before="0" w:beforeAutospacing="0" w:after="0" w:afterAutospacing="0"/>
        <w:jc w:val="both"/>
        <w:textAlignment w:val="baseline"/>
        <w:rPr>
          <w:sz w:val="21"/>
          <w:szCs w:val="21"/>
        </w:rPr>
      </w:pPr>
    </w:p>
    <w:p w14:paraId="67C094D1" w14:textId="5FB39F0B" w:rsidR="00197C2B" w:rsidRPr="00E539C0" w:rsidRDefault="00197C2B" w:rsidP="00FC0002">
      <w:pPr>
        <w:pStyle w:val="Titre3"/>
      </w:pPr>
      <w:bookmarkStart w:id="11" w:name="_Toc186712248"/>
      <w:r w:rsidRPr="00E539C0">
        <w:t>Le régime supplémentaire à prestations définies : « l’article 39 »</w:t>
      </w:r>
      <w:bookmarkEnd w:id="11"/>
    </w:p>
    <w:p w14:paraId="794B2B2D" w14:textId="77777777" w:rsidR="000A60F2" w:rsidRDefault="000A60F2" w:rsidP="00197C2B">
      <w:pPr>
        <w:pStyle w:val="NormalWeb"/>
        <w:spacing w:before="0" w:beforeAutospacing="0" w:after="0" w:afterAutospacing="0"/>
        <w:jc w:val="both"/>
        <w:textAlignment w:val="baseline"/>
        <w:rPr>
          <w:sz w:val="21"/>
          <w:szCs w:val="21"/>
        </w:rPr>
      </w:pPr>
    </w:p>
    <w:p w14:paraId="6219F8FB" w14:textId="4BF52018" w:rsidR="00197C2B" w:rsidRDefault="003A0A69" w:rsidP="00FC0002">
      <w:pPr>
        <w:pStyle w:val="CGPC-elearning"/>
        <w:rPr>
          <w:rFonts w:ascii="Times New Roman" w:hAnsi="Times New Roman" w:cs="Times New Roman"/>
        </w:rPr>
      </w:pPr>
      <w:r>
        <w:rPr>
          <w:noProof/>
        </w:rPr>
        <w:drawing>
          <wp:anchor distT="0" distB="0" distL="114300" distR="114300" simplePos="0" relativeHeight="251660288" behindDoc="0" locked="0" layoutInCell="1" allowOverlap="1" wp14:anchorId="15DD0EF7" wp14:editId="488665A2">
            <wp:simplePos x="0" y="0"/>
            <wp:positionH relativeFrom="column">
              <wp:posOffset>220717</wp:posOffset>
            </wp:positionH>
            <wp:positionV relativeFrom="paragraph">
              <wp:posOffset>1358</wp:posOffset>
            </wp:positionV>
            <wp:extent cx="7105650" cy="6991350"/>
            <wp:effectExtent l="0" t="0" r="0" b="0"/>
            <wp:wrapSquare wrapText="bothSides"/>
            <wp:docPr id="922632111" name="Image 28" descr="Une image contenant texte, capture d’écran, cercle, Pol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632111" name="Image 28" descr="Une image contenant texte, capture d’écran, cercle, Police"/>
                    <pic:cNvPicPr/>
                  </pic:nvPicPr>
                  <pic:blipFill>
                    <a:blip r:embed="rId42">
                      <a:extLst>
                        <a:ext uri="{28A0092B-C50C-407E-A947-70E740481C1C}">
                          <a14:useLocalDpi xmlns:a14="http://schemas.microsoft.com/office/drawing/2010/main" val="0"/>
                        </a:ext>
                      </a:extLst>
                    </a:blip>
                    <a:stretch>
                      <a:fillRect/>
                    </a:stretch>
                  </pic:blipFill>
                  <pic:spPr>
                    <a:xfrm>
                      <a:off x="0" y="0"/>
                      <a:ext cx="7105650" cy="6991350"/>
                    </a:xfrm>
                    <a:prstGeom prst="rect">
                      <a:avLst/>
                    </a:prstGeom>
                  </pic:spPr>
                </pic:pic>
              </a:graphicData>
            </a:graphic>
          </wp:anchor>
        </w:drawing>
      </w:r>
      <w:r w:rsidR="00197C2B">
        <w:t>Appelé ainsi en référence à l’article du Code général des impôts qui détermine son régime fiscal, le contrat « article 39 » est un contrat d’assurance mis en place et financé intégralement par l’employeur. Il est généralement destiné à une catégorie restreinte de salariés telle que les cadres et cadres dirigeants. Son objectif : permettre à une entreprise de constituer au profit de certains de ses salariés un complément de revenu qui leur sera versé, sous forme de rente, lors de leur départ à la retraite. Le montant de cette rente est défini à l’avance par l’entreprise.</w:t>
      </w:r>
    </w:p>
    <w:p w14:paraId="197193F8" w14:textId="77777777" w:rsidR="00197C2B" w:rsidRDefault="00197C2B" w:rsidP="00FC0002">
      <w:pPr>
        <w:pStyle w:val="CGPC-elearning"/>
      </w:pPr>
      <w:r>
        <w:t>Une ordonnance du 3 juillet 2019 est venue modifier en profondeur le fonctionnement de ces contrats, posant les règles de droit transitoire suivantes : plus de nouveaux affiliés à compter du 4 juillet 2019 et plus d’acquisitions de droits possibles à compter du 1</w:t>
      </w:r>
      <w:r>
        <w:rPr>
          <w:bdr w:val="none" w:sz="0" w:space="0" w:color="auto" w:frame="1"/>
          <w:vertAlign w:val="superscript"/>
        </w:rPr>
        <w:t>er</w:t>
      </w:r>
      <w:r>
        <w:t> janvier 2020 sur les contrats « ancienne formule » ; maintien des droits au profit des bénéficiaires déjà affiliés s’ils achèvent leur carrière dans l’entreprise ; transfert possible des droits vers un contrat « nouvelle formule ».</w:t>
      </w:r>
    </w:p>
    <w:p w14:paraId="35466251" w14:textId="77777777" w:rsidR="00197C2B" w:rsidRDefault="00197C2B" w:rsidP="00FC0002">
      <w:pPr>
        <w:pStyle w:val="CGPC-elearning"/>
      </w:pPr>
      <w:r>
        <w:t>Si une entreprise souhaite faire bénéficier une catégorie spécifique de salariés d’un contrat « article 39 », elle doit obligatoirement mettre en place, dans le même temps, un autre dispositif de retraite pour l’ensemble des salariés : un PER collectif (anciennement un Perco) ou un PER obligatoire (anciennement un PER entreprises ou « article 83 »).</w:t>
      </w:r>
    </w:p>
    <w:p w14:paraId="6836935E" w14:textId="46161EB8" w:rsidR="00197C2B" w:rsidRDefault="00197C2B" w:rsidP="00FC0002">
      <w:pPr>
        <w:pStyle w:val="CGPC-elearning"/>
      </w:pPr>
      <w:r>
        <w:rPr>
          <w:noProof/>
          <w:lang w:eastAsia="fr-FR"/>
        </w:rPr>
        <w:drawing>
          <wp:inline distT="0" distB="0" distL="0" distR="0" wp14:anchorId="2E16408D" wp14:editId="17C044A5">
            <wp:extent cx="166370" cy="166370"/>
            <wp:effectExtent l="0" t="0" r="5080" b="5080"/>
            <wp:docPr id="112897072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t> </w:t>
      </w:r>
      <w:r>
        <w:rPr>
          <w:rStyle w:val="lev"/>
          <w:i/>
          <w:iCs/>
          <w:sz w:val="21"/>
          <w:szCs w:val="21"/>
          <w:u w:val="single"/>
          <w:bdr w:val="none" w:sz="0" w:space="0" w:color="auto" w:frame="1"/>
        </w:rPr>
        <w:t>À noter :</w:t>
      </w:r>
      <w:r>
        <w:rPr>
          <w:rStyle w:val="Accentuation"/>
          <w:sz w:val="21"/>
          <w:szCs w:val="21"/>
        </w:rPr>
        <w:t> les dispositifs Perco et « PER entreprises » sont fermés à la commercialisation depuis le 1</w:t>
      </w:r>
      <w:r>
        <w:rPr>
          <w:rStyle w:val="Accentuation"/>
          <w:sz w:val="21"/>
          <w:szCs w:val="21"/>
          <w:vertAlign w:val="superscript"/>
        </w:rPr>
        <w:t>er</w:t>
      </w:r>
      <w:r>
        <w:rPr>
          <w:rStyle w:val="Accentuation"/>
          <w:sz w:val="21"/>
          <w:szCs w:val="21"/>
        </w:rPr>
        <w:t> octobre 2020. Les contrats ouverts avant cette date continuent toutefois d’exister, et leur fonctionnement demeure inchangé.</w:t>
      </w:r>
    </w:p>
    <w:p w14:paraId="10C0641A" w14:textId="77777777" w:rsidR="00197C2B" w:rsidRDefault="00197C2B" w:rsidP="00FC0002">
      <w:pPr>
        <w:pStyle w:val="CGPC-elearning"/>
      </w:pPr>
      <w:r>
        <w:t>Les mandataires sociaux peuvent bénéficier d’un contrat « article 39 », mais avec l’accord préalable du conseil d’administration (ou du conseil de surveillance selon le type de sociétés).</w:t>
      </w:r>
    </w:p>
    <w:p w14:paraId="3FCD02F3" w14:textId="77777777" w:rsidR="00197C2B" w:rsidRDefault="00197C2B" w:rsidP="00FC0002">
      <w:pPr>
        <w:pStyle w:val="CGPC-elearning"/>
      </w:pPr>
      <w:r>
        <w:lastRenderedPageBreak/>
        <w:t>Les mandataires sociaux des sociétés cotées (sociétés anonymes « SA » et sociétés en commandite par actions « SCA ») sont en outre soumis à des conditions supplémentaires. Pour eux, l’attribution est notamment subordonnée à un double vote de l’assemblée générale des actionnaires, dans le cadre :</w:t>
      </w:r>
    </w:p>
    <w:p w14:paraId="36F70563" w14:textId="3ECE8584" w:rsidR="00197C2B" w:rsidRDefault="009D3ACC" w:rsidP="00FC0002">
      <w:pPr>
        <w:pStyle w:val="CGPC-elearning"/>
      </w:pPr>
      <w:r>
        <w:t xml:space="preserve">- </w:t>
      </w:r>
      <w:r w:rsidR="00197C2B">
        <w:t>d’une part, du vote annuel sur la politique de rémunération des dirigeants (vote </w:t>
      </w:r>
      <w:r w:rsidR="00197C2B">
        <w:rPr>
          <w:rStyle w:val="Accentuation"/>
          <w:sz w:val="21"/>
          <w:szCs w:val="21"/>
        </w:rPr>
        <w:t>« ex ante »</w:t>
      </w:r>
      <w:r w:rsidR="00197C2B">
        <w:t>) ;</w:t>
      </w:r>
    </w:p>
    <w:p w14:paraId="3D966A07" w14:textId="47BC89C5" w:rsidR="00197C2B" w:rsidRDefault="009D3ACC" w:rsidP="00FC0002">
      <w:pPr>
        <w:pStyle w:val="CGPC-elearning"/>
      </w:pPr>
      <w:r>
        <w:t xml:space="preserve">- </w:t>
      </w:r>
      <w:r w:rsidR="00197C2B">
        <w:t>et, d’autre part, du vote sur les rémunérations versées ou attribuées au cours de l’exercice écoulé (vote </w:t>
      </w:r>
      <w:r w:rsidR="00197C2B">
        <w:rPr>
          <w:rStyle w:val="Accentuation"/>
          <w:sz w:val="21"/>
          <w:szCs w:val="21"/>
        </w:rPr>
        <w:t>« ex post »</w:t>
      </w:r>
      <w:r w:rsidR="00197C2B">
        <w:t>).</w:t>
      </w:r>
    </w:p>
    <w:p w14:paraId="1454EC04" w14:textId="77777777" w:rsidR="00F66618" w:rsidRDefault="00F66618" w:rsidP="00FC0002">
      <w:pPr>
        <w:pStyle w:val="CGPC-elearning"/>
      </w:pPr>
    </w:p>
    <w:p w14:paraId="26FE1AE4" w14:textId="77777777" w:rsidR="009D3ACC" w:rsidRDefault="009D3ACC" w:rsidP="00FC0002">
      <w:pPr>
        <w:pStyle w:val="CGPC-elearning"/>
      </w:pPr>
    </w:p>
    <w:p w14:paraId="4E6E57D3" w14:textId="5D63DA8A" w:rsidR="00197C2B" w:rsidRPr="00E539C0" w:rsidRDefault="009D3ACC" w:rsidP="00FC0002">
      <w:pPr>
        <w:pStyle w:val="Titre4"/>
        <w:numPr>
          <w:ilvl w:val="0"/>
          <w:numId w:val="16"/>
        </w:numPr>
      </w:pPr>
      <w:r>
        <w:t>Le f</w:t>
      </w:r>
      <w:r w:rsidR="00197C2B" w:rsidRPr="00E539C0">
        <w:t>onctionnement d</w:t>
      </w:r>
      <w:r>
        <w:t xml:space="preserve">u régime  « </w:t>
      </w:r>
      <w:r w:rsidR="00197C2B" w:rsidRPr="00E539C0">
        <w:t>article 39 » avant la retraite</w:t>
      </w:r>
    </w:p>
    <w:p w14:paraId="4EEB5B03" w14:textId="34DD5D33" w:rsidR="000A60F2" w:rsidRDefault="000612E0" w:rsidP="00197C2B">
      <w:pPr>
        <w:pStyle w:val="NormalWeb"/>
        <w:spacing w:before="0" w:beforeAutospacing="0" w:after="0" w:afterAutospacing="0"/>
        <w:jc w:val="both"/>
        <w:textAlignment w:val="baseline"/>
        <w:rPr>
          <w:sz w:val="21"/>
          <w:szCs w:val="21"/>
        </w:rPr>
      </w:pPr>
      <w:r>
        <w:rPr>
          <w:noProof/>
        </w:rPr>
        <w:drawing>
          <wp:anchor distT="0" distB="0" distL="114300" distR="114300" simplePos="0" relativeHeight="251662336" behindDoc="0" locked="0" layoutInCell="1" allowOverlap="1" wp14:anchorId="4FCFD900" wp14:editId="3AE10DCB">
            <wp:simplePos x="0" y="0"/>
            <wp:positionH relativeFrom="column">
              <wp:posOffset>220345</wp:posOffset>
            </wp:positionH>
            <wp:positionV relativeFrom="paragraph">
              <wp:posOffset>159385</wp:posOffset>
            </wp:positionV>
            <wp:extent cx="5895975" cy="6268085"/>
            <wp:effectExtent l="0" t="0" r="9525" b="0"/>
            <wp:wrapSquare wrapText="bothSides"/>
            <wp:docPr id="1539104324" name="Image 29" descr="Une image contenant texte, capture d’écran, Polic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104324" name="Image 29" descr="Une image contenant texte, capture d’écran, Police, diagramme&#10;&#10;Description générée automatiquement"/>
                    <pic:cNvPicPr/>
                  </pic:nvPicPr>
                  <pic:blipFill>
                    <a:blip r:embed="rId44">
                      <a:extLst>
                        <a:ext uri="{28A0092B-C50C-407E-A947-70E740481C1C}">
                          <a14:useLocalDpi xmlns:a14="http://schemas.microsoft.com/office/drawing/2010/main" val="0"/>
                        </a:ext>
                      </a:extLst>
                    </a:blip>
                    <a:stretch>
                      <a:fillRect/>
                    </a:stretch>
                  </pic:blipFill>
                  <pic:spPr>
                    <a:xfrm>
                      <a:off x="0" y="0"/>
                      <a:ext cx="5895975" cy="6268085"/>
                    </a:xfrm>
                    <a:prstGeom prst="rect">
                      <a:avLst/>
                    </a:prstGeom>
                  </pic:spPr>
                </pic:pic>
              </a:graphicData>
            </a:graphic>
            <wp14:sizeRelH relativeFrom="margin">
              <wp14:pctWidth>0</wp14:pctWidth>
            </wp14:sizeRelH>
            <wp14:sizeRelV relativeFrom="margin">
              <wp14:pctHeight>0</wp14:pctHeight>
            </wp14:sizeRelV>
          </wp:anchor>
        </w:drawing>
      </w:r>
    </w:p>
    <w:p w14:paraId="7A2C05DA" w14:textId="57AA21BE" w:rsidR="00197C2B" w:rsidRDefault="00197C2B" w:rsidP="00FC0002">
      <w:pPr>
        <w:pStyle w:val="CGPC-elearning"/>
        <w:rPr>
          <w:rFonts w:ascii="Times New Roman" w:hAnsi="Times New Roman" w:cs="Times New Roman"/>
        </w:rPr>
      </w:pPr>
      <w:r>
        <w:t>Le financement d’un contrat « article 39 » est assuré intégralement grâce à des primes versées par l’entreprise. Les salariés bénéficiaires ne versent aucune prime sur ces contrats.</w:t>
      </w:r>
    </w:p>
    <w:p w14:paraId="05E971FD" w14:textId="77777777" w:rsidR="00197C2B" w:rsidRDefault="00197C2B" w:rsidP="00FC0002">
      <w:pPr>
        <w:pStyle w:val="CGPC-elearning"/>
      </w:pPr>
      <w:r>
        <w:t>Le contrat « article 39 » bénéficie d’avantages fiscaux et sociaux pour l’entreprise (exonération de charges sociales et fiscales sur les primes versées par l’entreprise, sous conditions), mais qui se sont amoindries au cours des dernières années, notamment avec la mise en place de contributions spécifiques.</w:t>
      </w:r>
    </w:p>
    <w:p w14:paraId="67C698B3" w14:textId="77777777" w:rsidR="00197C2B" w:rsidRDefault="00197C2B" w:rsidP="00FC0002">
      <w:pPr>
        <w:pStyle w:val="CGPC-elearning"/>
      </w:pPr>
      <w:r>
        <w:t>Ces droits à retraite supplémentaire sont acquis chaque année. Ils sont exprimés en pourcentage de la rémunération annuelle du salarié soumise aux cotisations sociales.</w:t>
      </w:r>
    </w:p>
    <w:p w14:paraId="48DD0828" w14:textId="77777777" w:rsidR="00197C2B" w:rsidRDefault="00197C2B" w:rsidP="00FC0002">
      <w:pPr>
        <w:pStyle w:val="CGPC-elearning"/>
      </w:pPr>
      <w:r>
        <w:t>Ce pourcentage est limité à 3 % par an. Le cumul des pourcentages, tous employeurs confondus, est limité à 30 points (ces points étant calculés à partir des pourcentages annuels précités).</w:t>
      </w:r>
    </w:p>
    <w:p w14:paraId="628ECD68" w14:textId="223DF192" w:rsidR="00197C2B" w:rsidRDefault="009D3ACC" w:rsidP="00FC0002">
      <w:pPr>
        <w:pStyle w:val="CGPC-elearning"/>
      </w:pPr>
      <w:r>
        <w:t>L</w:t>
      </w:r>
      <w:r w:rsidR="00197C2B">
        <w:t>es droits acquis sont revalorisés annuellement sur la base d’un coefficient au plus égal à l’évolution du plafond annuel de la sécurité sociale (PASS).</w:t>
      </w:r>
    </w:p>
    <w:p w14:paraId="1B6AF7AF" w14:textId="3F0DDF82" w:rsidR="000612E0" w:rsidRDefault="00197C2B" w:rsidP="00FC0002">
      <w:pPr>
        <w:pStyle w:val="CGPC-elearning"/>
      </w:pPr>
      <w:r>
        <w:t>Pour les mandataires sociaux ou les bénéficiaires qui ont une rémunération annuelle supérieure à 8 PASS, l’acquisition des droits devra être soumise à des conditions de performances professionnelles.</w:t>
      </w:r>
    </w:p>
    <w:p w14:paraId="1244590B" w14:textId="77777777" w:rsidR="000612E0" w:rsidRDefault="000612E0" w:rsidP="000612E0">
      <w:pPr>
        <w:pStyle w:val="CGPC-elearning"/>
      </w:pPr>
      <w:r>
        <w:br w:type="page"/>
      </w:r>
    </w:p>
    <w:p w14:paraId="71ACB370" w14:textId="6A8D3980" w:rsidR="00197C2B" w:rsidRDefault="00197C2B" w:rsidP="00FC0002">
      <w:pPr>
        <w:pStyle w:val="Titre4"/>
      </w:pPr>
      <w:r>
        <w:lastRenderedPageBreak/>
        <w:t xml:space="preserve">Fonctionnement </w:t>
      </w:r>
      <w:r w:rsidR="009D3ACC" w:rsidRPr="00E539C0">
        <w:t>d</w:t>
      </w:r>
      <w:r w:rsidR="009D3ACC">
        <w:t xml:space="preserve">u régime  « </w:t>
      </w:r>
      <w:r w:rsidR="009D3ACC" w:rsidRPr="00E539C0">
        <w:t>article 39 »</w:t>
      </w:r>
      <w:r w:rsidR="009D3ACC">
        <w:t xml:space="preserve"> </w:t>
      </w:r>
      <w:r>
        <w:t>à la retraite</w:t>
      </w:r>
    </w:p>
    <w:p w14:paraId="1B0FD36A" w14:textId="77777777" w:rsidR="001B5802" w:rsidRDefault="001B5802" w:rsidP="00FC0002">
      <w:pPr>
        <w:pStyle w:val="CGPC-elearning"/>
        <w:sectPr w:rsidR="001B5802" w:rsidSect="00AC29AB">
          <w:type w:val="continuous"/>
          <w:pgSz w:w="23811" w:h="16838" w:orient="landscape" w:code="8"/>
          <w:pgMar w:top="1440" w:right="1440" w:bottom="1440" w:left="1440" w:header="720" w:footer="720" w:gutter="0"/>
          <w:pgNumType w:start="0"/>
          <w:cols w:space="720"/>
          <w:titlePg/>
          <w:docGrid w:linePitch="360"/>
        </w:sectPr>
      </w:pPr>
    </w:p>
    <w:p w14:paraId="096CB8BE" w14:textId="114E39E5" w:rsidR="00197C2B" w:rsidRDefault="00197C2B" w:rsidP="00FC0002">
      <w:pPr>
        <w:pStyle w:val="CGPC-elearning"/>
        <w:rPr>
          <w:rFonts w:ascii="Times New Roman" w:hAnsi="Times New Roman" w:cs="Times New Roman"/>
        </w:rPr>
      </w:pPr>
      <w:r>
        <w:t>La rente « article 39 » peut être de deux natures, selon la formule retenue au moment de la création du contrat :</w:t>
      </w:r>
    </w:p>
    <w:p w14:paraId="2AF7F79D" w14:textId="46E3C834" w:rsidR="00197C2B" w:rsidRDefault="009D3ACC" w:rsidP="00FC0002">
      <w:pPr>
        <w:pStyle w:val="CGPC-elearning"/>
      </w:pPr>
      <w:r>
        <w:t xml:space="preserve">- </w:t>
      </w:r>
      <w:r w:rsidR="00197C2B">
        <w:t>le régime additionnel garantit un montant de la rente égal à un pourcentage du dernier salaire ;</w:t>
      </w:r>
    </w:p>
    <w:p w14:paraId="05E30A6B" w14:textId="123AC629" w:rsidR="00197C2B" w:rsidRDefault="009D3ACC" w:rsidP="00FC0002">
      <w:pPr>
        <w:pStyle w:val="CGPC-elearning"/>
      </w:pPr>
      <w:r>
        <w:t xml:space="preserve">- </w:t>
      </w:r>
      <w:r w:rsidR="00197C2B">
        <w:t>le régime différentiel garantit un certain niveau de revenus à la retraite. La rente qui sera versée complètera les pensions de retraite obligatoires (et éventuellement d’autres pensions supplémentaires d’entreprise) pour parvenir à ce niveau de revenus : ce sont les fameuses « retraites chapeaux ».</w:t>
      </w:r>
    </w:p>
    <w:p w14:paraId="7213702D" w14:textId="77777777" w:rsidR="00197C2B" w:rsidRDefault="00197C2B" w:rsidP="00FC0002">
      <w:pPr>
        <w:pStyle w:val="CGPC-elearning"/>
      </w:pPr>
      <w:r>
        <w:t>En cas de décès du bénéficiaire avant la liquidation, l’épargne reste dans le contrat d’assurance souscrit par l’entreprise, sauf si le dispositif a prévu une rente de réversion pour le conjoint.</w:t>
      </w:r>
    </w:p>
    <w:p w14:paraId="6EC36F39" w14:textId="77777777" w:rsidR="00197C2B" w:rsidRDefault="00197C2B" w:rsidP="00FC0002">
      <w:pPr>
        <w:pStyle w:val="CGPC-elearning"/>
      </w:pPr>
      <w:r>
        <w:t>En cas de décès du bénéficiaire après la liquidation, la rente peut être réversible au profit du conjoint, selon ce que le dispositif aura prévu.</w:t>
      </w:r>
    </w:p>
    <w:p w14:paraId="5A8EC7BB" w14:textId="77777777" w:rsidR="00197C2B" w:rsidRDefault="00197C2B" w:rsidP="00FC0002">
      <w:pPr>
        <w:pStyle w:val="CGPC-elearning"/>
      </w:pPr>
      <w:r>
        <w:t>Dans le nouveau dispositif de « l’article 39 à droits acquis », les droits sont acquis immédiatement au bénéficiaire et ne sont plus soumis à une condition de présence dans l’entreprise au moment du départ en retraite (une condition d’ancienneté de trois ans est admise).</w:t>
      </w:r>
    </w:p>
    <w:p w14:paraId="492E3856" w14:textId="77777777" w:rsidR="001B5802" w:rsidRDefault="001B5802" w:rsidP="004A28DF">
      <w:pPr>
        <w:pStyle w:val="CGPC-elearning"/>
        <w:jc w:val="center"/>
        <w:sectPr w:rsidR="001B5802" w:rsidSect="001B5802">
          <w:type w:val="continuous"/>
          <w:pgSz w:w="23811" w:h="16838" w:orient="landscape" w:code="8"/>
          <w:pgMar w:top="1440" w:right="1440" w:bottom="1440" w:left="1440" w:header="720" w:footer="720" w:gutter="0"/>
          <w:pgNumType w:start="0"/>
          <w:cols w:num="2" w:space="720"/>
          <w:titlePg/>
          <w:docGrid w:linePitch="360"/>
        </w:sectPr>
      </w:pPr>
    </w:p>
    <w:p w14:paraId="6447F6B1" w14:textId="384B166A" w:rsidR="004A28DF" w:rsidRDefault="004A28DF" w:rsidP="004A28DF">
      <w:pPr>
        <w:pStyle w:val="CGPC-elearning"/>
        <w:jc w:val="center"/>
      </w:pPr>
      <w:r>
        <w:rPr>
          <w:noProof/>
        </w:rPr>
        <w:drawing>
          <wp:inline distT="0" distB="0" distL="0" distR="0" wp14:anchorId="33A7AFC8" wp14:editId="747D78E1">
            <wp:extent cx="8987683" cy="5600700"/>
            <wp:effectExtent l="0" t="0" r="4445" b="0"/>
            <wp:docPr id="1871138509" name="Image 30" descr="Une image contenant texte, capture d’écran, Police, conce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138509" name="Image 30" descr="Une image contenant texte, capture d’écran, Police, conception"/>
                    <pic:cNvPicPr/>
                  </pic:nvPicPr>
                  <pic:blipFill>
                    <a:blip r:embed="rId45">
                      <a:extLst>
                        <a:ext uri="{28A0092B-C50C-407E-A947-70E740481C1C}">
                          <a14:useLocalDpi xmlns:a14="http://schemas.microsoft.com/office/drawing/2010/main" val="0"/>
                        </a:ext>
                      </a:extLst>
                    </a:blip>
                    <a:stretch>
                      <a:fillRect/>
                    </a:stretch>
                  </pic:blipFill>
                  <pic:spPr>
                    <a:xfrm>
                      <a:off x="0" y="0"/>
                      <a:ext cx="8995396" cy="5605507"/>
                    </a:xfrm>
                    <a:prstGeom prst="rect">
                      <a:avLst/>
                    </a:prstGeom>
                  </pic:spPr>
                </pic:pic>
              </a:graphicData>
            </a:graphic>
          </wp:inline>
        </w:drawing>
      </w:r>
    </w:p>
    <w:p w14:paraId="2F36BC27" w14:textId="77777777" w:rsidR="009D3ACC" w:rsidRDefault="009D3ACC" w:rsidP="00FC0002">
      <w:pPr>
        <w:pStyle w:val="CGPC-elearning"/>
      </w:pPr>
    </w:p>
    <w:p w14:paraId="32912BAC" w14:textId="74ECD133" w:rsidR="00197C2B" w:rsidRDefault="009D3ACC" w:rsidP="00FC0002">
      <w:pPr>
        <w:pStyle w:val="Titre4"/>
      </w:pPr>
      <w:r>
        <w:t>Le r</w:t>
      </w:r>
      <w:r w:rsidR="00197C2B">
        <w:t>égime fiscal et social de « l’article 39 à droits acquis »</w:t>
      </w:r>
    </w:p>
    <w:p w14:paraId="06453E0E" w14:textId="77777777" w:rsidR="00197C2B" w:rsidRDefault="00197C2B" w:rsidP="00FC0002">
      <w:pPr>
        <w:pStyle w:val="CGPC-elearning"/>
        <w:rPr>
          <w:rFonts w:ascii="Times New Roman" w:hAnsi="Times New Roman" w:cs="Times New Roman"/>
        </w:rPr>
      </w:pPr>
      <w:r>
        <w:t>Une contribution patronale est créée. Au taux unique de 29,7 %, elle est assise sur les primes versées par l’employeur pour financer la retraite.</w:t>
      </w:r>
    </w:p>
    <w:p w14:paraId="296A4706" w14:textId="77777777" w:rsidR="00197C2B" w:rsidRDefault="00197C2B" w:rsidP="00FC0002">
      <w:pPr>
        <w:pStyle w:val="CGPC-elearning"/>
      </w:pPr>
      <w:r>
        <w:t>Parallèlement, est également maintenue à la charge du bénéficiaire la contribution, assise sur sa rente, de 7 % ou de 14 % en fonction du montant de la rente :</w:t>
      </w:r>
    </w:p>
    <w:p w14:paraId="6D3383E6" w14:textId="77777777" w:rsidR="00197C2B" w:rsidRDefault="00197C2B" w:rsidP="00FC0002">
      <w:pPr>
        <w:pStyle w:val="CGPC-elearning"/>
      </w:pPr>
      <w:r>
        <w:t>– 7 % pour la part de ces rentes supérieure à 400 € et inférieure ou égale à 600 € par mois ;</w:t>
      </w:r>
    </w:p>
    <w:p w14:paraId="6C57FCC6" w14:textId="77777777" w:rsidR="00197C2B" w:rsidRDefault="00197C2B" w:rsidP="00FC0002">
      <w:pPr>
        <w:pStyle w:val="CGPC-elearning"/>
      </w:pPr>
      <w:r>
        <w:t>– 14 % pour la part de ces rentes supérieure à 600 € et inférieure ou égale à 24 000 € par mois ;</w:t>
      </w:r>
    </w:p>
    <w:p w14:paraId="06891944" w14:textId="77777777" w:rsidR="00197C2B" w:rsidRDefault="00197C2B" w:rsidP="00FC0002">
      <w:pPr>
        <w:pStyle w:val="CGPC-elearning"/>
      </w:pPr>
      <w:r>
        <w:t>– 21 % pour la part de ces rentes supérieure à 24 000 € par mois.</w:t>
      </w:r>
    </w:p>
    <w:p w14:paraId="549AF761" w14:textId="77777777" w:rsidR="00197C2B" w:rsidRDefault="00197C2B" w:rsidP="00FC0002">
      <w:pPr>
        <w:pStyle w:val="CGPC-elearning"/>
      </w:pPr>
      <w:r>
        <w:t>Les rentes sont imposables dans la catégorie des pensions et bénéficient d’un abattement forfaitaire de 10 % (v. </w:t>
      </w:r>
      <w:r>
        <w:rPr>
          <w:rStyle w:val="Accentuation"/>
          <w:sz w:val="21"/>
          <w:szCs w:val="21"/>
        </w:rPr>
        <w:t>infra</w:t>
      </w:r>
      <w:r>
        <w:t> le récapitulatif).</w:t>
      </w:r>
    </w:p>
    <w:p w14:paraId="58112E7C" w14:textId="729316E4" w:rsidR="00197C2B" w:rsidRDefault="00197C2B" w:rsidP="00B42E87">
      <w:pPr>
        <w:pStyle w:val="NormalWeb"/>
        <w:spacing w:before="0" w:beforeAutospacing="0" w:after="0" w:afterAutospacing="0"/>
        <w:jc w:val="center"/>
        <w:textAlignment w:val="baseline"/>
        <w:rPr>
          <w:sz w:val="21"/>
          <w:szCs w:val="21"/>
        </w:rPr>
      </w:pPr>
      <w:r>
        <w:rPr>
          <w:noProof/>
          <w:sz w:val="21"/>
          <w:szCs w:val="21"/>
        </w:rPr>
        <w:drawing>
          <wp:inline distT="0" distB="0" distL="0" distR="0" wp14:anchorId="26B72DCD" wp14:editId="27F197D8">
            <wp:extent cx="8491349" cy="5314950"/>
            <wp:effectExtent l="0" t="0" r="5080" b="0"/>
            <wp:docPr id="259421222"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505374" cy="5323729"/>
                    </a:xfrm>
                    <a:prstGeom prst="rect">
                      <a:avLst/>
                    </a:prstGeom>
                    <a:noFill/>
                    <a:ln>
                      <a:noFill/>
                    </a:ln>
                  </pic:spPr>
                </pic:pic>
              </a:graphicData>
            </a:graphic>
          </wp:inline>
        </w:drawing>
      </w:r>
    </w:p>
    <w:p w14:paraId="26313A9E" w14:textId="5E2C321D" w:rsidR="00197C2B" w:rsidRDefault="001B5802" w:rsidP="00197C2B">
      <w:pPr>
        <w:pStyle w:val="NormalWeb"/>
        <w:spacing w:before="0" w:beforeAutospacing="0" w:after="0" w:afterAutospacing="0"/>
        <w:textAlignment w:val="baseline"/>
        <w:rPr>
          <w:sz w:val="21"/>
          <w:szCs w:val="21"/>
        </w:rPr>
      </w:pPr>
      <w:r>
        <w:rPr>
          <w:b/>
          <w:bCs/>
          <w:noProof/>
          <w:sz w:val="21"/>
          <w:szCs w:val="21"/>
          <w:u w:val="single"/>
          <w14:ligatures w14:val="standardContextual"/>
        </w:rPr>
        <w:lastRenderedPageBreak/>
        <mc:AlternateContent>
          <mc:Choice Requires="wps">
            <w:drawing>
              <wp:anchor distT="0" distB="0" distL="114300" distR="114300" simplePos="0" relativeHeight="251666432" behindDoc="1" locked="0" layoutInCell="1" allowOverlap="1" wp14:anchorId="608B7181" wp14:editId="3E2189C0">
                <wp:simplePos x="0" y="0"/>
                <wp:positionH relativeFrom="column">
                  <wp:posOffset>-914400</wp:posOffset>
                </wp:positionH>
                <wp:positionV relativeFrom="paragraph">
                  <wp:posOffset>-914400</wp:posOffset>
                </wp:positionV>
                <wp:extent cx="15525750" cy="10648950"/>
                <wp:effectExtent l="0" t="0" r="19050" b="19050"/>
                <wp:wrapNone/>
                <wp:docPr id="1903172254" name="Rectangle 8"/>
                <wp:cNvGraphicFramePr/>
                <a:graphic xmlns:a="http://schemas.openxmlformats.org/drawingml/2006/main">
                  <a:graphicData uri="http://schemas.microsoft.com/office/word/2010/wordprocessingShape">
                    <wps:wsp>
                      <wps:cNvSpPr/>
                      <wps:spPr>
                        <a:xfrm>
                          <a:off x="0" y="0"/>
                          <a:ext cx="15525750" cy="1064895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21EB95" id="Rectangle 8" o:spid="_x0000_s1026" style="position:absolute;margin-left:-1in;margin-top:-1in;width:1222.5pt;height:838.5pt;z-index:-251650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" fillcolor="#4472c4 [3204]" strokecolor="#09101d [484]" strokeweight="1pt"/>
            </w:pict>
          </mc:Fallback>
        </mc:AlternateContent>
      </w:r>
      <w:r w:rsidR="00197C2B">
        <w:rPr>
          <w:rStyle w:val="lev"/>
          <w:sz w:val="21"/>
          <w:szCs w:val="21"/>
          <w:u w:val="single"/>
          <w:bdr w:val="none" w:sz="0" w:space="0" w:color="auto" w:frame="1"/>
        </w:rPr>
        <w:t> </w:t>
      </w:r>
    </w:p>
    <w:p w14:paraId="3251AEA4" w14:textId="4A1937F4" w:rsidR="003D2EB1" w:rsidRDefault="003D2EB1">
      <w:pPr>
        <w:jc w:val="left"/>
        <w:rPr>
          <w:rFonts w:eastAsiaTheme="majorEastAsia" w:cs="Open Sans"/>
          <w:b/>
          <w:bCs/>
          <w:color w:val="3A5D9C"/>
          <w:kern w:val="2"/>
          <w:sz w:val="44"/>
          <w:szCs w:val="26"/>
          <w:bdr w:val="none" w:sz="0" w:space="0" w:color="auto" w:frame="1"/>
          <w14:ligatures w14:val="standardContextual"/>
        </w:rPr>
      </w:pPr>
    </w:p>
    <w:p w14:paraId="2877B75D" w14:textId="77777777" w:rsidR="005312DD" w:rsidRDefault="005312DD" w:rsidP="005312DD">
      <w:pPr>
        <w:pStyle w:val="CGPC-elearning"/>
      </w:pPr>
    </w:p>
    <w:p w14:paraId="1B5747C3" w14:textId="77777777" w:rsidR="005312DD" w:rsidRDefault="005312DD" w:rsidP="005312DD">
      <w:pPr>
        <w:pStyle w:val="CGPC-elearning"/>
      </w:pPr>
    </w:p>
    <w:p w14:paraId="76E83608" w14:textId="77777777" w:rsidR="005312DD" w:rsidRDefault="005312DD" w:rsidP="005312DD">
      <w:pPr>
        <w:pStyle w:val="CGPC-elearning"/>
      </w:pPr>
    </w:p>
    <w:p w14:paraId="4C3BE45D" w14:textId="77777777" w:rsidR="005312DD" w:rsidRDefault="005312DD" w:rsidP="005312DD">
      <w:pPr>
        <w:pStyle w:val="CGPC-elearning"/>
      </w:pPr>
    </w:p>
    <w:p w14:paraId="200541A9" w14:textId="77777777" w:rsidR="005312DD" w:rsidRDefault="005312DD" w:rsidP="005312DD">
      <w:pPr>
        <w:pStyle w:val="CGPC-elearning"/>
      </w:pPr>
    </w:p>
    <w:p w14:paraId="12E3D0AB" w14:textId="77777777" w:rsidR="001B5802" w:rsidRDefault="001B5802" w:rsidP="005312DD">
      <w:pPr>
        <w:pStyle w:val="CGPC-elearning"/>
      </w:pPr>
    </w:p>
    <w:p w14:paraId="79B1912D" w14:textId="77777777" w:rsidR="005312DD" w:rsidRPr="005312DD" w:rsidRDefault="005312DD" w:rsidP="005312DD">
      <w:pPr>
        <w:pStyle w:val="CGPC-elearning"/>
      </w:pPr>
    </w:p>
    <w:p w14:paraId="49A284A2" w14:textId="757A13F0" w:rsidR="00055D7D" w:rsidRDefault="00197C2B" w:rsidP="00FC0002">
      <w:pPr>
        <w:pStyle w:val="Titre2"/>
      </w:pPr>
      <w:bookmarkStart w:id="12" w:name="_Toc186712249"/>
      <w:r w:rsidRPr="003D2EB1">
        <w:t>Les</w:t>
      </w:r>
      <w:r>
        <w:t xml:space="preserve"> dispositifs individuels d’épargne</w:t>
      </w:r>
      <w:bookmarkEnd w:id="12"/>
    </w:p>
    <w:p w14:paraId="4B9D8945" w14:textId="77777777" w:rsidR="00055D7D" w:rsidRDefault="00055D7D" w:rsidP="00FC0002">
      <w:pPr>
        <w:pStyle w:val="CGPC-elearning"/>
        <w:rPr>
          <w:rFonts w:eastAsiaTheme="majorEastAsia"/>
          <w:color w:val="3A5D9C"/>
          <w:sz w:val="48"/>
          <w:szCs w:val="26"/>
          <w:bdr w:val="none" w:sz="0" w:space="0" w:color="auto" w:frame="1"/>
        </w:rPr>
      </w:pPr>
      <w:r>
        <w:br w:type="page"/>
      </w:r>
    </w:p>
    <w:p w14:paraId="7AC70E65" w14:textId="02A58573" w:rsidR="00197C2B" w:rsidRDefault="00197C2B" w:rsidP="00FC0002">
      <w:pPr>
        <w:pStyle w:val="CGPC-elearning"/>
      </w:pPr>
      <w:r>
        <w:lastRenderedPageBreak/>
        <w:t>Depuis la loi Pacte, le plan d’épargne retraite individuel (</w:t>
      </w:r>
      <w:proofErr w:type="spellStart"/>
      <w:r>
        <w:t>PERin</w:t>
      </w:r>
      <w:proofErr w:type="spellEnd"/>
      <w:r>
        <w:t xml:space="preserve">) remplace les anciens contrats dits « Madelin », qui subsistent s’ils ont été souscrits avant le 1er octobre 2020 et s’ils n’ont pas été transférés vers un </w:t>
      </w:r>
      <w:proofErr w:type="spellStart"/>
      <w:r>
        <w:t>PERin</w:t>
      </w:r>
      <w:proofErr w:type="spellEnd"/>
      <w:r>
        <w:t>. Les contrats en « sursalaire » dits « article 82 » ne sont en revanche pas concernés par l’instauration de la loi Pacte.</w:t>
      </w:r>
    </w:p>
    <w:p w14:paraId="7A1B11D1" w14:textId="77777777" w:rsidR="009D3ACC" w:rsidRDefault="009D3ACC" w:rsidP="00FC0002">
      <w:pPr>
        <w:pStyle w:val="CGPC-elearning"/>
      </w:pPr>
    </w:p>
    <w:p w14:paraId="418026D6" w14:textId="05598C5E" w:rsidR="00197C2B" w:rsidRPr="003D2EB1" w:rsidRDefault="00197C2B" w:rsidP="00FC0002">
      <w:pPr>
        <w:pStyle w:val="Titre3"/>
        <w:numPr>
          <w:ilvl w:val="0"/>
          <w:numId w:val="7"/>
        </w:numPr>
      </w:pPr>
      <w:bookmarkStart w:id="13" w:name="_Toc186712250"/>
      <w:r w:rsidRPr="003D2EB1">
        <w:t xml:space="preserve">Le </w:t>
      </w:r>
      <w:proofErr w:type="spellStart"/>
      <w:r w:rsidRPr="003D2EB1">
        <w:t>PERin</w:t>
      </w:r>
      <w:bookmarkEnd w:id="13"/>
      <w:proofErr w:type="spellEnd"/>
    </w:p>
    <w:p w14:paraId="0B3F5916" w14:textId="77777777" w:rsidR="003D2EB1" w:rsidRDefault="003D2EB1" w:rsidP="00197C2B">
      <w:pPr>
        <w:pStyle w:val="NormalWeb"/>
        <w:spacing w:before="0" w:beforeAutospacing="0" w:after="0" w:afterAutospacing="0"/>
        <w:jc w:val="both"/>
        <w:textAlignment w:val="baseline"/>
        <w:rPr>
          <w:sz w:val="21"/>
          <w:szCs w:val="21"/>
        </w:rPr>
      </w:pPr>
    </w:p>
    <w:p w14:paraId="6C5EBA2E" w14:textId="72C85A5B" w:rsidR="00197C2B" w:rsidRDefault="00197C2B" w:rsidP="00FC0002">
      <w:pPr>
        <w:pStyle w:val="CGPC-elearning"/>
        <w:rPr>
          <w:rFonts w:ascii="Times New Roman" w:hAnsi="Times New Roman" w:cs="Times New Roman"/>
        </w:rPr>
      </w:pPr>
      <w:r>
        <w:t>Le plan d’épargne retraite individuel (</w:t>
      </w:r>
      <w:proofErr w:type="spellStart"/>
      <w:r>
        <w:t>PERin</w:t>
      </w:r>
      <w:proofErr w:type="spellEnd"/>
      <w:r>
        <w:t>) a été mis en place le 1er octobre 2020. Il remplace le Perp et les contrats « Madelin » en permettant à des particuliers de se constituer une épargne en vue de leur retraite qui pourra être versée sous la forme d’un capital ou d’une rente viagère.</w:t>
      </w:r>
    </w:p>
    <w:p w14:paraId="091959C5" w14:textId="77777777" w:rsidR="00197C2B" w:rsidRDefault="00197C2B" w:rsidP="00FC0002">
      <w:pPr>
        <w:pStyle w:val="CGPC-elearning"/>
      </w:pPr>
      <w:r>
        <w:t xml:space="preserve">Toute personne peut donc adhérer à un </w:t>
      </w:r>
      <w:proofErr w:type="spellStart"/>
      <w:r>
        <w:t>PERin</w:t>
      </w:r>
      <w:proofErr w:type="spellEnd"/>
      <w:r>
        <w:t xml:space="preserve">, en particulier les dirigeants d’entreprise non-salariés qui ne peuvent pas bénéficier des plans d’entreprise. Le </w:t>
      </w:r>
      <w:proofErr w:type="spellStart"/>
      <w:r>
        <w:t>PERin</w:t>
      </w:r>
      <w:proofErr w:type="spellEnd"/>
      <w:r>
        <w:t xml:space="preserve"> est abondé principalement par les versements volontaires de l’adhérent auxquels peuvent s’ajouter, en cas de transfert d’un PER d’entreprise vers un PER individuel, les sommes issues de l’intéressement, de la participation et de l’abondement de l’entreprise à un PER d’entreprise ou à un </w:t>
      </w:r>
      <w:proofErr w:type="spellStart"/>
      <w:r>
        <w:t>PERco</w:t>
      </w:r>
      <w:proofErr w:type="spellEnd"/>
      <w:r>
        <w:t>, les sommes issues d’un compte épargne temps (CET) et affectées au PER d’entreprise et les versements obligatoires effectués sur un PER d’entreprise obligatoire.</w:t>
      </w:r>
    </w:p>
    <w:p w14:paraId="00AEAC57" w14:textId="77777777" w:rsidR="009D3ACC" w:rsidRDefault="009D3ACC" w:rsidP="00FC0002">
      <w:pPr>
        <w:pStyle w:val="CGPC-elearning"/>
      </w:pPr>
    </w:p>
    <w:p w14:paraId="2C959324" w14:textId="77777777" w:rsidR="00197C2B" w:rsidRDefault="00197C2B" w:rsidP="00FC0002">
      <w:pPr>
        <w:pStyle w:val="CGPC-elearning"/>
      </w:pPr>
      <w:r>
        <w:t>Les sommes versées par l’adhérent sur le plan sont déductibles de son revenu imposable. Le plafond est égal au plus élevé des deux montants suivants :</w:t>
      </w:r>
    </w:p>
    <w:p w14:paraId="013A84E1" w14:textId="77777777" w:rsidR="00197C2B" w:rsidRDefault="00197C2B" w:rsidP="00FC0002">
      <w:pPr>
        <w:pStyle w:val="CGPC-elearning"/>
      </w:pPr>
      <w:r>
        <w:t>10 % des revenus professionnels de l’année précédente, nets de cotisations sociale et de frais professionnels, avec une déduction maximale égale à huit fois le plafond annuel de la Sécurité sociale (de 43 992 € en 2022) ;</w:t>
      </w:r>
      <w:r>
        <w:br/>
        <w:t>ou</w:t>
      </w:r>
    </w:p>
    <w:p w14:paraId="3D085313" w14:textId="77777777" w:rsidR="00197C2B" w:rsidRDefault="00197C2B" w:rsidP="00FC0002">
      <w:pPr>
        <w:pStyle w:val="CGPC-elearning"/>
      </w:pPr>
      <w:r>
        <w:t>4 114 euros si ce montant est plus élevé.</w:t>
      </w:r>
    </w:p>
    <w:p w14:paraId="481626A6" w14:textId="77777777" w:rsidR="009D3ACC" w:rsidRDefault="009D3ACC" w:rsidP="00FC0002">
      <w:pPr>
        <w:pStyle w:val="CGPC-elearning"/>
      </w:pPr>
    </w:p>
    <w:p w14:paraId="0367E79C" w14:textId="77777777" w:rsidR="00197C2B" w:rsidRDefault="00197C2B" w:rsidP="00FC0002">
      <w:pPr>
        <w:pStyle w:val="CGPC-elearning"/>
      </w:pPr>
      <w:r>
        <w:t>Le régime fiscal de la rente ou du capital diffère selon que les versements volontaires ont été déduits ou non du revenu imposable.</w:t>
      </w:r>
    </w:p>
    <w:p w14:paraId="442CF33C" w14:textId="77777777" w:rsidR="00197C2B" w:rsidRDefault="00197C2B" w:rsidP="00FC0002">
      <w:pPr>
        <w:pStyle w:val="CGPC-elearning"/>
      </w:pPr>
      <w:r>
        <w:t>S’ils ont été déduits :</w:t>
      </w:r>
    </w:p>
    <w:p w14:paraId="0B7C1B0B" w14:textId="587E7C7F" w:rsidR="00197C2B" w:rsidRDefault="009D3ACC" w:rsidP="00FC0002">
      <w:pPr>
        <w:pStyle w:val="CGPC-elearning"/>
      </w:pPr>
      <w:r>
        <w:t xml:space="preserve">- </w:t>
      </w:r>
      <w:r w:rsidR="00197C2B">
        <w:t>en cas de sortie en capital, la part de capital correspondant aux versements volontaires est imposée au barème progressif de l’impôt sur le revenu en tant que rente viagère à titre gratuit, mais pas aux prélèvements sociaux. La part de capital correspondant aux produits générés par le contrat subit un prélèvement forfaitaire de 30 %, correspondant à 12,8 % pour l’impôt sur le revenu et 17,2 % pour les prélèvements sociaux ;</w:t>
      </w:r>
    </w:p>
    <w:p w14:paraId="33262B18" w14:textId="27EEBEA1" w:rsidR="00197C2B" w:rsidRDefault="009D3ACC" w:rsidP="00FC0002">
      <w:pPr>
        <w:pStyle w:val="CGPC-elearning"/>
      </w:pPr>
      <w:r>
        <w:t xml:space="preserve">- </w:t>
      </w:r>
      <w:r w:rsidR="00197C2B">
        <w:t>en cas de sortie en rente, cette dernière est soumise à l’impôt sur le revenu après abattement de 10 %, comme les pensions de retraite, et aux prélèvements sociaux au taux de 17,2 % sur une fraction seulement de cette rente (70 % si le bénéficiaire est âgé de moins de 50 ans, 50 % s’il a entre 50 et 59 ans, 40 % s’il a entre 60 et 69 ans, 30 % s’il a plus de 70 ans).</w:t>
      </w:r>
    </w:p>
    <w:p w14:paraId="5A50171A" w14:textId="77777777" w:rsidR="00197C2B" w:rsidRDefault="00197C2B" w:rsidP="00FC0002">
      <w:pPr>
        <w:pStyle w:val="CGPC-elearning"/>
      </w:pPr>
      <w:r>
        <w:t>Si les versements volontaires n’ont pas été déduits :</w:t>
      </w:r>
    </w:p>
    <w:p w14:paraId="4D93230D" w14:textId="0D13E14F" w:rsidR="00197C2B" w:rsidRDefault="009D3ACC" w:rsidP="00FC0002">
      <w:pPr>
        <w:pStyle w:val="CGPC-elearning"/>
      </w:pPr>
      <w:r>
        <w:lastRenderedPageBreak/>
        <w:t xml:space="preserve">- </w:t>
      </w:r>
      <w:r w:rsidR="00197C2B">
        <w:t>en cas de sortie en capital, la part de capital correspondant aux versements volontaires non déduits fiscalement est exonérée d’impôt sur le revenu et de prélèvements sociaux. La part de capital correspondant aux intérêts générés par le contrat subit un prélèvement forfaitaire de 30 %, correspondant à l’impôt sur le revenu à hauteur de 12,8 % et aux prélèvements sociaux à hauteur de 17,2 % ;</w:t>
      </w:r>
    </w:p>
    <w:p w14:paraId="20B48510" w14:textId="740219BE" w:rsidR="00197C2B" w:rsidRDefault="009D3ACC" w:rsidP="00FC0002">
      <w:pPr>
        <w:pStyle w:val="CGPC-elearning"/>
      </w:pPr>
      <w:r>
        <w:t xml:space="preserve">- </w:t>
      </w:r>
      <w:r w:rsidR="00197C2B">
        <w:t>en cas de sortie en rente, la part de la rente correspondant aux versements volontaires ou aux revenus exonérés est imposée selon les règles applicables aux rentes viagères à titre onéreux. Elle est donc soumise à l’impôt sur le revenu et aux prélèvements sociaux (au taux de 17,2 %) sur une fraction seulement de cette rente (70 % si le bénéficiaire est âgé de moins de 50 ans, 50 % s’il a entre 50 et 59 ans, 40 % s’il a entre 60 et 69 ans, 30 % s’il a plus de 70 ans).</w:t>
      </w:r>
    </w:p>
    <w:p w14:paraId="6B7ECA12" w14:textId="77777777" w:rsidR="009D3ACC" w:rsidRDefault="009D3ACC" w:rsidP="00FC0002">
      <w:pPr>
        <w:pStyle w:val="CGPC-elearning"/>
      </w:pPr>
    </w:p>
    <w:p w14:paraId="48617A66" w14:textId="0C487F48" w:rsidR="00197C2B" w:rsidRDefault="00197C2B" w:rsidP="00FC0002">
      <w:pPr>
        <w:pStyle w:val="Titre3"/>
      </w:pPr>
      <w:bookmarkStart w:id="14" w:name="_Toc186712251"/>
      <w:r>
        <w:t>Les contrats « Madelin »</w:t>
      </w:r>
      <w:bookmarkEnd w:id="14"/>
    </w:p>
    <w:p w14:paraId="5CEFA13E" w14:textId="77777777" w:rsidR="003D2EB1" w:rsidRDefault="003D2EB1" w:rsidP="00197C2B">
      <w:pPr>
        <w:pStyle w:val="NormalWeb"/>
        <w:spacing w:before="0" w:beforeAutospacing="0" w:after="0" w:afterAutospacing="0"/>
        <w:jc w:val="both"/>
        <w:textAlignment w:val="baseline"/>
        <w:rPr>
          <w:sz w:val="21"/>
          <w:szCs w:val="21"/>
        </w:rPr>
      </w:pPr>
    </w:p>
    <w:p w14:paraId="5EA16EBF" w14:textId="5447AE1E" w:rsidR="00197C2B" w:rsidRDefault="00197C2B" w:rsidP="00FC0002">
      <w:pPr>
        <w:pStyle w:val="CGPC-elearning"/>
        <w:rPr>
          <w:rFonts w:ascii="Times New Roman" w:hAnsi="Times New Roman" w:cs="Times New Roman"/>
        </w:rPr>
      </w:pPr>
      <w:r>
        <w:t>Réservé aux travailleurs non-salariés et non agricoles ainsi qu’à leurs conjoints, l’ancien dispositif « Madelin » s’adressait aux professions libérales, aux commerçants, aux artisans et aux dirigeants de société. S’il n’est plus commercialisé depuis le 1</w:t>
      </w:r>
      <w:r>
        <w:rPr>
          <w:bdr w:val="none" w:sz="0" w:space="0" w:color="auto" w:frame="1"/>
          <w:vertAlign w:val="superscript"/>
        </w:rPr>
        <w:t>er</w:t>
      </w:r>
      <w:r>
        <w:t xml:space="preserve"> octobre 2020, il subsiste s’il n’a pas fait l’objet d’un transfert vers un </w:t>
      </w:r>
      <w:proofErr w:type="spellStart"/>
      <w:r>
        <w:t>PERin</w:t>
      </w:r>
      <w:proofErr w:type="spellEnd"/>
      <w:r>
        <w:t xml:space="preserve"> et continue de répondre aux règles qui lui sont propres.</w:t>
      </w:r>
    </w:p>
    <w:p w14:paraId="72229177" w14:textId="77777777" w:rsidR="00197C2B" w:rsidRDefault="00197C2B" w:rsidP="00FC0002">
      <w:pPr>
        <w:pStyle w:val="CGPC-elearning"/>
      </w:pPr>
      <w:r>
        <w:t>Il fonctionne sur le même principe que les autres épargnes individuelles : moyennant le versement régulier d’une cotisation, le bénéficiaire du contrat perçoit, une fois à la retraite, une rente fixe jusqu’à son décès.</w:t>
      </w:r>
    </w:p>
    <w:p w14:paraId="33337AA4" w14:textId="77777777" w:rsidR="00197C2B" w:rsidRDefault="00197C2B" w:rsidP="00FC0002">
      <w:pPr>
        <w:pStyle w:val="CGPC-elearning"/>
      </w:pPr>
      <w:r>
        <w:t>Il est à noter que les versements ne sont pas libres. Au moment de l’adhésion, le souscripteur doit choisir le type de classes de cotisation : le montant des versements varie entre 40 et 12 000 euros annuels. En outre, une fois qu’il a commencé à épargner, le souscripteur ne peut pas s’arrêter. Il s’engage à le faire jusqu’à sa retraite. La seule souplesse accordée réside dans le fait de pouvoir moduler les versements, d’une année sur l’autre, dans une proportion de 1 à 10.</w:t>
      </w:r>
    </w:p>
    <w:p w14:paraId="58F4BB85" w14:textId="77777777" w:rsidR="00197C2B" w:rsidRDefault="00197C2B" w:rsidP="00FC0002">
      <w:pPr>
        <w:pStyle w:val="CGPC-elearning"/>
      </w:pPr>
      <w:r>
        <w:t>Ce type d’épargne retraite a un mode de fonctionnement très proche de celui de l’assurance vie (contrats en euros ou multisupports).</w:t>
      </w:r>
    </w:p>
    <w:p w14:paraId="3FCAC445" w14:textId="77777777" w:rsidR="00197C2B" w:rsidRDefault="00197C2B" w:rsidP="00FC0002">
      <w:pPr>
        <w:pStyle w:val="CGPC-elearning"/>
      </w:pPr>
      <w:r>
        <w:t>Il existait, jusqu’à novembre 2010, uniquement deux cas de déblocage anticipé : la cessation d’activité à la suite d’un jugement de liquidation judiciaire et l’invalidité. Le souscripteur pouvait récupérer dans ces cas la totalité du capital épargné.</w:t>
      </w:r>
    </w:p>
    <w:p w14:paraId="60D85492" w14:textId="77777777" w:rsidR="00197C2B" w:rsidRDefault="00197C2B" w:rsidP="00FC0002">
      <w:pPr>
        <w:pStyle w:val="CGPC-elearning"/>
      </w:pPr>
      <w:r>
        <w:t>Depuis la loi de novembre 2010 portant réforme des retraites, de nouvelles possibilités de sorties anticipées ont été prévues. Les assurés ont ainsi la possibilité de récupérer leur épargne de façon anticipée en cas de décès du conjoint ou du partenaire de pacs, en cas de surendettement ou dès lors qu’une situation le justifie selon le président du tribunal de commerce auprès duquel est instituée une procédure de conciliation.</w:t>
      </w:r>
    </w:p>
    <w:p w14:paraId="66314625" w14:textId="77777777" w:rsidR="00197C2B" w:rsidRDefault="00197C2B" w:rsidP="00FC0002">
      <w:pPr>
        <w:pStyle w:val="CGPC-elearning"/>
      </w:pPr>
      <w:r>
        <w:t>La sortie peut être versée sous forme de revenus de remplacement ou de rentes viagères.</w:t>
      </w:r>
    </w:p>
    <w:p w14:paraId="0B5CE2DE" w14:textId="77777777" w:rsidR="00197C2B" w:rsidRDefault="00197C2B" w:rsidP="00FC0002">
      <w:pPr>
        <w:pStyle w:val="CGPC-elearning"/>
      </w:pPr>
      <w:r>
        <w:t>L’avantage fiscal à l’entrée permet de déduire les versements effectués du bénéfice imposable dans la limite égale au plus élevé des deux montants suivants :</w:t>
      </w:r>
    </w:p>
    <w:p w14:paraId="057827EF" w14:textId="77777777" w:rsidR="00197C2B" w:rsidRDefault="00197C2B" w:rsidP="00FC0002">
      <w:pPr>
        <w:pStyle w:val="CGPC-elearning"/>
      </w:pPr>
      <w:r>
        <w:t>10 % de la fraction du bénéfice imposable (avant déduction des cotisations et primes facultatives) retenu dans la limite de 8 PASS auxquels s’ajoutent 15 % supplémentaires sur la fraction de ce bénéfice compris entre un plafond et 8 PASS ;</w:t>
      </w:r>
      <w:r>
        <w:br/>
        <w:t>ou</w:t>
      </w:r>
    </w:p>
    <w:p w14:paraId="6DA0A1A9" w14:textId="77777777" w:rsidR="00197C2B" w:rsidRDefault="00197C2B" w:rsidP="00FC0002">
      <w:pPr>
        <w:pStyle w:val="CGPC-elearning"/>
      </w:pPr>
      <w:r>
        <w:lastRenderedPageBreak/>
        <w:t>10 % du montant du PASS.</w:t>
      </w:r>
    </w:p>
    <w:p w14:paraId="4666C62F" w14:textId="77777777" w:rsidR="00197C2B" w:rsidRDefault="00197C2B" w:rsidP="00FC0002">
      <w:pPr>
        <w:pStyle w:val="CGPC-elearning"/>
      </w:pPr>
      <w:r>
        <w:t>Les prestations servies en contrepartie des cotisations déductibles sont imposables à l’impôt sur le revenu après un abattement de 10 % pour les prestations servies sous forme de rente.</w:t>
      </w:r>
    </w:p>
    <w:p w14:paraId="6FCDC13A" w14:textId="0951FFC5" w:rsidR="00197C2B" w:rsidRDefault="00197C2B" w:rsidP="00FC0002">
      <w:pPr>
        <w:pStyle w:val="Titre4"/>
        <w:numPr>
          <w:ilvl w:val="0"/>
          <w:numId w:val="17"/>
        </w:numPr>
      </w:pPr>
      <w:r w:rsidRPr="003D2EB1">
        <w:t>Transfert</w:t>
      </w:r>
      <w:r>
        <w:t xml:space="preserve"> vers un </w:t>
      </w:r>
      <w:proofErr w:type="spellStart"/>
      <w:r>
        <w:t>PERin</w:t>
      </w:r>
      <w:proofErr w:type="spellEnd"/>
      <w:r>
        <w:t xml:space="preserve"> : les avantages</w:t>
      </w:r>
    </w:p>
    <w:p w14:paraId="437ACB33" w14:textId="77777777" w:rsidR="00197C2B" w:rsidRDefault="00197C2B" w:rsidP="00FC0002">
      <w:pPr>
        <w:pStyle w:val="CGPC-elearning"/>
        <w:rPr>
          <w:rFonts w:ascii="Times New Roman" w:hAnsi="Times New Roman" w:cs="Times New Roman"/>
        </w:rPr>
      </w:pPr>
      <w:r>
        <w:t xml:space="preserve">Il est possible de transférer les encours détenus sur un contrat « Madelin » vers un </w:t>
      </w:r>
      <w:proofErr w:type="spellStart"/>
      <w:r>
        <w:t>PERin</w:t>
      </w:r>
      <w:proofErr w:type="spellEnd"/>
      <w:r>
        <w:t>. Le transfert n’est pas obligatoire. Il s’agit simplement d’une option qui est ouverte par la loi </w:t>
      </w:r>
      <w:r>
        <w:rPr>
          <w:rStyle w:val="Accentuation"/>
          <w:sz w:val="21"/>
          <w:szCs w:val="21"/>
        </w:rPr>
        <w:t>Pacte</w:t>
      </w:r>
      <w:r>
        <w:t>.</w:t>
      </w:r>
    </w:p>
    <w:p w14:paraId="58D24A8D" w14:textId="77777777" w:rsidR="00197C2B" w:rsidRDefault="00197C2B" w:rsidP="00FC0002">
      <w:pPr>
        <w:pStyle w:val="CGPC-elearning"/>
      </w:pPr>
      <w:r>
        <w:t xml:space="preserve">La différence majeure entre le contrat « Madelin » et le </w:t>
      </w:r>
      <w:proofErr w:type="spellStart"/>
      <w:r>
        <w:t>PERin</w:t>
      </w:r>
      <w:proofErr w:type="spellEnd"/>
      <w:r>
        <w:t xml:space="preserve"> se situe dans les options à la sortie. En effet, le </w:t>
      </w:r>
      <w:proofErr w:type="spellStart"/>
      <w:r>
        <w:t>PERin</w:t>
      </w:r>
      <w:proofErr w:type="spellEnd"/>
      <w:r>
        <w:t xml:space="preserve"> prévoit une sortie libre en capital, en rente ou un panachage entre rente et capital. Le contrat « Madelin » prévoit uniquement une sortie en rente.</w:t>
      </w:r>
    </w:p>
    <w:p w14:paraId="1682FA10" w14:textId="77777777" w:rsidR="00197C2B" w:rsidRDefault="00197C2B" w:rsidP="00FC0002">
      <w:pPr>
        <w:pStyle w:val="CGPC-elearning"/>
      </w:pPr>
      <w:r>
        <w:t xml:space="preserve">Les cas de déblocage anticipé couvrent pour le contrat « Madelin » essentiellement des cas permettant de se protéger contre des accidents de la vie (décès du conjoint, situation de surendettement…). Le </w:t>
      </w:r>
      <w:proofErr w:type="spellStart"/>
      <w:r>
        <w:t>PERin</w:t>
      </w:r>
      <w:proofErr w:type="spellEnd"/>
      <w:r>
        <w:t xml:space="preserve"> prévoit un cas supplémentaire : la récupération des sommes épargnées pour l’acquisition de la résidence principale.</w:t>
      </w:r>
    </w:p>
    <w:p w14:paraId="39BFEE70" w14:textId="77777777" w:rsidR="00197C2B" w:rsidRDefault="00197C2B" w:rsidP="00FC0002">
      <w:pPr>
        <w:pStyle w:val="CGPC-elearning"/>
      </w:pPr>
      <w:r>
        <w:t xml:space="preserve">Les versements sur le </w:t>
      </w:r>
      <w:proofErr w:type="spellStart"/>
      <w:r>
        <w:t>PERin</w:t>
      </w:r>
      <w:proofErr w:type="spellEnd"/>
      <w:r>
        <w:t xml:space="preserve"> sont totalement libres. En revanche, le contrat « Madelin » impose une contrainte annuelle de versement. Il oblige le souscripteur à alimenter son épargne au moins une fois dans l’année, et il doit définir un montant minimum à placer par an.</w:t>
      </w:r>
    </w:p>
    <w:p w14:paraId="132B0220" w14:textId="77777777" w:rsidR="00197C2B" w:rsidRDefault="00197C2B" w:rsidP="00FC0002">
      <w:pPr>
        <w:pStyle w:val="CGPC-elearning"/>
      </w:pPr>
      <w:r>
        <w:t xml:space="preserve">En transférant le contrat « Madelin » vers un </w:t>
      </w:r>
      <w:proofErr w:type="spellStart"/>
      <w:r>
        <w:t>PERin</w:t>
      </w:r>
      <w:proofErr w:type="spellEnd"/>
      <w:r>
        <w:t>, le souscripteur bénéficie d’une certaine souplesse dans son épargne. Il peut augmenter ses versements les années où son activité professionnelle fonctionne bien, et il peut diminuer, voire stopper, ses versements en cas de passe difficile.</w:t>
      </w:r>
    </w:p>
    <w:p w14:paraId="73FD4B61" w14:textId="77777777" w:rsidR="00197C2B" w:rsidRDefault="00197C2B" w:rsidP="00FC0002">
      <w:pPr>
        <w:pStyle w:val="CGPC-elearning"/>
      </w:pPr>
      <w:r>
        <w:t xml:space="preserve">Enfin, le </w:t>
      </w:r>
      <w:proofErr w:type="spellStart"/>
      <w:r>
        <w:t>PERin</w:t>
      </w:r>
      <w:proofErr w:type="spellEnd"/>
      <w:r>
        <w:t xml:space="preserve"> a cet avantage nouveau de pouvoir regrouper tous les anciens produits retraite, individuels et collectifs, sous un même contrat unique.</w:t>
      </w:r>
    </w:p>
    <w:p w14:paraId="2348B305" w14:textId="77777777" w:rsidR="009D3ACC" w:rsidRDefault="009D3ACC" w:rsidP="00FC0002">
      <w:pPr>
        <w:pStyle w:val="CGPC-elearning"/>
      </w:pPr>
    </w:p>
    <w:p w14:paraId="5741CC90" w14:textId="77B63E7C" w:rsidR="00197C2B" w:rsidRDefault="00197C2B" w:rsidP="00FC0002">
      <w:pPr>
        <w:pStyle w:val="Titre4"/>
      </w:pPr>
      <w:r>
        <w:t xml:space="preserve">Transfert vers un </w:t>
      </w:r>
      <w:proofErr w:type="spellStart"/>
      <w:r>
        <w:t>PERin</w:t>
      </w:r>
      <w:proofErr w:type="spellEnd"/>
      <w:r>
        <w:t xml:space="preserve"> : les points d’attention</w:t>
      </w:r>
    </w:p>
    <w:p w14:paraId="125181C3" w14:textId="77777777" w:rsidR="00197C2B" w:rsidRDefault="00197C2B" w:rsidP="00FC0002">
      <w:pPr>
        <w:pStyle w:val="CGPC-elearning"/>
        <w:rPr>
          <w:rFonts w:ascii="Times New Roman" w:hAnsi="Times New Roman" w:cs="Times New Roman"/>
        </w:rPr>
      </w:pPr>
      <w:r>
        <w:t xml:space="preserve">À l’entrée, le souscripteur d’un </w:t>
      </w:r>
      <w:proofErr w:type="spellStart"/>
      <w:r>
        <w:t>PERin</w:t>
      </w:r>
      <w:proofErr w:type="spellEnd"/>
      <w:r>
        <w:t xml:space="preserve"> bénéficie des mêmes déductions fiscales que s’il versait des sommes sur un contrat « Madelin ». À la sortie, en revanche, le régime fiscal diffère.</w:t>
      </w:r>
    </w:p>
    <w:p w14:paraId="5BEBDA53" w14:textId="77777777" w:rsidR="00197C2B" w:rsidRDefault="00197C2B" w:rsidP="00FC0002">
      <w:pPr>
        <w:pStyle w:val="CGPC-elearning"/>
      </w:pPr>
      <w:r>
        <w:t xml:space="preserve">Dans le cas d’une sortie en rente, le </w:t>
      </w:r>
      <w:proofErr w:type="spellStart"/>
      <w:r>
        <w:t>PERin</w:t>
      </w:r>
      <w:proofErr w:type="spellEnd"/>
      <w:r>
        <w:t xml:space="preserve"> est plus avantageux que le contrat « Madelin » du fait du fonctionnement des prélèvements sociaux :</w:t>
      </w:r>
    </w:p>
    <w:p w14:paraId="02237CBF" w14:textId="77777777" w:rsidR="00197C2B" w:rsidRDefault="00197C2B" w:rsidP="00FC0002">
      <w:pPr>
        <w:pStyle w:val="CGPC-elearning"/>
      </w:pPr>
      <w:r>
        <w:t xml:space="preserve">sur le </w:t>
      </w:r>
      <w:proofErr w:type="spellStart"/>
      <w:r>
        <w:t>PERin</w:t>
      </w:r>
      <w:proofErr w:type="spellEnd"/>
      <w:r>
        <w:t>, la rente est soumise à l’impôt sur le revenu après un abattement de 10 %, et les prélèvements sociaux s’appliquent au taux de 17,2 %, mais après un abattement de 30 % à 70 % selon l’âge lors de la transformation en rente si les versements volontaires ont été déduits ;</w:t>
      </w:r>
    </w:p>
    <w:p w14:paraId="26754FA7" w14:textId="77777777" w:rsidR="00197C2B" w:rsidRDefault="00197C2B" w:rsidP="00FC0002">
      <w:pPr>
        <w:pStyle w:val="CGPC-elearning"/>
      </w:pPr>
      <w:r>
        <w:t>sur le contrat « Madelin », la rente est également imposée à l’impôt sur le revenu après un abattement de 10 %, mais les prélèvements sociaux sont prélevés à hauteur de 9,1 % sur la totalité de la rente.</w:t>
      </w:r>
    </w:p>
    <w:p w14:paraId="7D7D9036" w14:textId="77777777" w:rsidR="00197C2B" w:rsidRDefault="00197C2B" w:rsidP="00FC0002">
      <w:pPr>
        <w:pStyle w:val="CGPC-elearning"/>
      </w:pPr>
      <w:r>
        <w:lastRenderedPageBreak/>
        <w:t xml:space="preserve">Dans le cas d’une sortie du plan à la retraite, si l’encours du contrat « Madelin » est conséquent, le bénéficiaire a intérêt à transférer son épargne sur un </w:t>
      </w:r>
      <w:proofErr w:type="spellStart"/>
      <w:r>
        <w:t>PERin</w:t>
      </w:r>
      <w:proofErr w:type="spellEnd"/>
      <w:r>
        <w:t xml:space="preserve"> pour profiter de la sortie en capital.</w:t>
      </w:r>
    </w:p>
    <w:p w14:paraId="55125097" w14:textId="77777777" w:rsidR="00197C2B" w:rsidRDefault="00197C2B" w:rsidP="00FC0002">
      <w:pPr>
        <w:pStyle w:val="CGPC-elearning"/>
      </w:pPr>
      <w:r>
        <w:t>Enfin, les frais de transfert sont encadrés sur les contrats « Madelin ». Ils s’élèvent au maximum à 5 % de l’encours du contrat. Ils sont nuls lorsque le plan d’épargne a plus de 10 ans.</w:t>
      </w:r>
    </w:p>
    <w:p w14:paraId="3AAA9D21" w14:textId="77777777" w:rsidR="00197C2B" w:rsidRDefault="00197C2B" w:rsidP="00FC0002">
      <w:pPr>
        <w:pStyle w:val="CGPC-elearning"/>
      </w:pPr>
      <w:r>
        <w:t xml:space="preserve">Attention : le transfert d’un contrat « Madelin » vers un </w:t>
      </w:r>
      <w:proofErr w:type="spellStart"/>
      <w:r>
        <w:t>PERin</w:t>
      </w:r>
      <w:proofErr w:type="spellEnd"/>
      <w:r>
        <w:t xml:space="preserve"> pourrait faire perdre éventuellement des garanties prévues au contrat, notamment sur les capitaux garantis en cas de décès, des garanties en cas d’invalidité ou d’incapacité et/ou le bénéfice d’une table de mortalité garantie permettant d’appliquer des conditions de transformation en rente définies à l’avance.</w:t>
      </w:r>
    </w:p>
    <w:p w14:paraId="370891F8" w14:textId="77777777" w:rsidR="009D3ACC" w:rsidRDefault="009D3ACC" w:rsidP="00FC0002">
      <w:pPr>
        <w:pStyle w:val="CGPC-elearning"/>
      </w:pPr>
    </w:p>
    <w:p w14:paraId="3E5AC086" w14:textId="0059B758" w:rsidR="00197C2B" w:rsidRDefault="00197C2B" w:rsidP="00FC0002">
      <w:pPr>
        <w:pStyle w:val="Titre3"/>
      </w:pPr>
      <w:bookmarkStart w:id="15" w:name="_Toc186712252"/>
      <w:r>
        <w:t>Les contrats en « sursalaire » (« article 82 »)</w:t>
      </w:r>
      <w:bookmarkEnd w:id="15"/>
    </w:p>
    <w:p w14:paraId="545BE8C3" w14:textId="77777777" w:rsidR="003D2EB1" w:rsidRDefault="003D2EB1" w:rsidP="00197C2B">
      <w:pPr>
        <w:pStyle w:val="NormalWeb"/>
        <w:spacing w:before="0" w:beforeAutospacing="0" w:after="0" w:afterAutospacing="0"/>
        <w:jc w:val="both"/>
        <w:textAlignment w:val="baseline"/>
        <w:rPr>
          <w:sz w:val="21"/>
          <w:szCs w:val="21"/>
        </w:rPr>
      </w:pPr>
    </w:p>
    <w:p w14:paraId="3A989DBC" w14:textId="6AE63723" w:rsidR="00197C2B" w:rsidRDefault="00197C2B" w:rsidP="00FC0002">
      <w:pPr>
        <w:pStyle w:val="CGPC-elearning"/>
        <w:rPr>
          <w:rFonts w:ascii="Times New Roman" w:hAnsi="Times New Roman" w:cs="Times New Roman"/>
        </w:rPr>
      </w:pPr>
      <w:r>
        <w:t>L</w:t>
      </w:r>
      <w:r w:rsidR="009D3ACC">
        <w:t xml:space="preserve">e contrat </w:t>
      </w:r>
      <w:r>
        <w:t>« article 82 » est un contrat de retraite facultatif et individuel, adossé à des contrats d’assurance-vie, à droits définitivement acquis souscrits et financés, en tout ou partie, par l’entreprise au profit de ses salariés et prévoyant le versement aux bénéficiaires, lors de leur départ à la retraite, soit d’un capital, soit d’une rente viagère.</w:t>
      </w:r>
    </w:p>
    <w:p w14:paraId="0BE812F6" w14:textId="77777777" w:rsidR="00197C2B" w:rsidRDefault="00197C2B" w:rsidP="00FC0002">
      <w:pPr>
        <w:pStyle w:val="CGPC-elearning"/>
      </w:pPr>
      <w:r>
        <w:t>Les cotisations de l’employeur constituent, pour le salarié, un complément de rémunération imposable à l’impôt sur le revenu selon les règles de droit commun des traitements et salaires. Les cotisations versées le cas échéant par le salarié ne sont pour leur part pas admises en déduction de son revenu imposable.</w:t>
      </w:r>
    </w:p>
    <w:p w14:paraId="612C1CCA" w14:textId="77777777" w:rsidR="00197C2B" w:rsidRDefault="00197C2B" w:rsidP="00FC0002">
      <w:pPr>
        <w:pStyle w:val="CGPC-elearning"/>
      </w:pPr>
      <w:r>
        <w:t>Lorsque le contrat se dénoue sous la forme d’un versement en capital, les produits du contrat sont imposables à l’impôt sur le revenu, selon les règles applicables aux contrats de capitalisation et d’assurance-vie.</w:t>
      </w:r>
    </w:p>
    <w:p w14:paraId="74595EC6" w14:textId="274B394E" w:rsidR="003D2EB1" w:rsidRDefault="00197C2B" w:rsidP="00FC0002">
      <w:pPr>
        <w:pStyle w:val="CGPC-elearning"/>
      </w:pPr>
      <w:r>
        <w:t>Ce contrat peut être mis en place dans l’entreprise par convention ou accord collectif ratifié selon les modalités de l’accord majoritaire, ou par référendum. Il est individuel, et l’adhésion à ce type de contrat doit rester facultative pour les salariés.</w:t>
      </w:r>
    </w:p>
    <w:p w14:paraId="0BE23AE8" w14:textId="77777777" w:rsidR="003D2EB1" w:rsidRDefault="003D2EB1" w:rsidP="00FC0002">
      <w:pPr>
        <w:pStyle w:val="CGPC-elearning"/>
      </w:pPr>
      <w:r>
        <w:br w:type="page"/>
      </w:r>
    </w:p>
    <w:p w14:paraId="6710F524" w14:textId="4B3BBCDA" w:rsidR="001B5802" w:rsidRDefault="001B5802" w:rsidP="001B5802">
      <w:r>
        <w:rPr>
          <w:noProof/>
          <w14:ligatures w14:val="standardContextual"/>
        </w:rPr>
        <w:lastRenderedPageBreak/>
        <mc:AlternateContent>
          <mc:Choice Requires="wps">
            <w:drawing>
              <wp:anchor distT="0" distB="0" distL="114300" distR="114300" simplePos="0" relativeHeight="251667456" behindDoc="1" locked="0" layoutInCell="1" allowOverlap="1" wp14:anchorId="4DC8C80B" wp14:editId="45BC511A">
                <wp:simplePos x="0" y="0"/>
                <wp:positionH relativeFrom="column">
                  <wp:posOffset>-914400</wp:posOffset>
                </wp:positionH>
                <wp:positionV relativeFrom="paragraph">
                  <wp:posOffset>-914400</wp:posOffset>
                </wp:positionV>
                <wp:extent cx="15182850" cy="10687050"/>
                <wp:effectExtent l="0" t="0" r="19050" b="19050"/>
                <wp:wrapNone/>
                <wp:docPr id="158959379" name="Rectangle 9"/>
                <wp:cNvGraphicFramePr/>
                <a:graphic xmlns:a="http://schemas.openxmlformats.org/drawingml/2006/main">
                  <a:graphicData uri="http://schemas.microsoft.com/office/word/2010/wordprocessingShape">
                    <wps:wsp>
                      <wps:cNvSpPr/>
                      <wps:spPr>
                        <a:xfrm>
                          <a:off x="0" y="0"/>
                          <a:ext cx="15182850" cy="1068705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1CF41B" id="Rectangle 9" o:spid="_x0000_s1026" style="position:absolute;margin-left:-1in;margin-top:-1in;width:1195.5pt;height:841.5pt;z-index:-251649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" fillcolor="#4472c4 [3204]" strokecolor="#09101d [484]" strokeweight="1pt"/>
            </w:pict>
          </mc:Fallback>
        </mc:AlternateContent>
      </w:r>
    </w:p>
    <w:p w14:paraId="62F0C3A3" w14:textId="77777777" w:rsidR="001B5802" w:rsidRDefault="001B5802" w:rsidP="001B5802"/>
    <w:p w14:paraId="6C2C705E" w14:textId="77777777" w:rsidR="001B5802" w:rsidRDefault="001B5802" w:rsidP="001B5802"/>
    <w:p w14:paraId="44DDB27B" w14:textId="77777777" w:rsidR="001B5802" w:rsidRDefault="001B5802" w:rsidP="001B5802"/>
    <w:p w14:paraId="28B9B88F" w14:textId="77777777" w:rsidR="001B5802" w:rsidRDefault="001B5802" w:rsidP="001B5802"/>
    <w:p w14:paraId="675A4D86" w14:textId="77777777" w:rsidR="001B5802" w:rsidRDefault="001B5802" w:rsidP="001B5802"/>
    <w:p w14:paraId="216EF9D9" w14:textId="77777777" w:rsidR="001B5802" w:rsidRDefault="001B5802" w:rsidP="001B5802"/>
    <w:p w14:paraId="26C3B640" w14:textId="77777777" w:rsidR="001B5802" w:rsidRDefault="001B5802" w:rsidP="001B5802"/>
    <w:p w14:paraId="7C954794" w14:textId="77777777" w:rsidR="001B5802" w:rsidRDefault="001B5802" w:rsidP="001B5802"/>
    <w:p w14:paraId="2395D9A0" w14:textId="3D338580" w:rsidR="005312DD" w:rsidRPr="001B5802" w:rsidRDefault="00197C2B" w:rsidP="001B5802">
      <w:pPr>
        <w:pStyle w:val="Titre2"/>
      </w:pPr>
      <w:bookmarkStart w:id="16" w:name="_Toc186712253"/>
      <w:r w:rsidRPr="001B5802">
        <w:t>Les stock-options et les attributions gratuites d’actions</w:t>
      </w:r>
      <w:bookmarkEnd w:id="16"/>
    </w:p>
    <w:p w14:paraId="1BEEBFC9" w14:textId="77777777" w:rsidR="005312DD" w:rsidRDefault="005312DD" w:rsidP="005312DD">
      <w:pPr>
        <w:pStyle w:val="CGPC-elearning"/>
        <w:rPr>
          <w:rFonts w:eastAsiaTheme="majorEastAsia"/>
          <w:color w:val="3A5D9C"/>
          <w:sz w:val="48"/>
          <w:szCs w:val="26"/>
          <w:bdr w:val="none" w:sz="0" w:space="0" w:color="auto" w:frame="1"/>
        </w:rPr>
      </w:pPr>
      <w:r>
        <w:br w:type="page"/>
      </w:r>
    </w:p>
    <w:p w14:paraId="26D83AC3" w14:textId="77777777" w:rsidR="00197C2B" w:rsidRPr="005312DD" w:rsidRDefault="00197C2B" w:rsidP="005312DD"/>
    <w:p w14:paraId="46CAA72A" w14:textId="2FDEEDAB" w:rsidR="005312DD" w:rsidRDefault="00197C2B" w:rsidP="00197C2B">
      <w:pPr>
        <w:pStyle w:val="NormalWeb"/>
        <w:spacing w:before="0" w:beforeAutospacing="0" w:after="0" w:afterAutospacing="0"/>
        <w:jc w:val="both"/>
        <w:textAlignment w:val="baseline"/>
        <w:rPr>
          <w:sz w:val="21"/>
          <w:szCs w:val="21"/>
        </w:rPr>
      </w:pPr>
      <w:r>
        <w:rPr>
          <w:noProof/>
          <w:sz w:val="21"/>
          <w:szCs w:val="21"/>
        </w:rPr>
        <w:drawing>
          <wp:inline distT="0" distB="0" distL="0" distR="0" wp14:anchorId="5C64DD60" wp14:editId="31090330">
            <wp:extent cx="12085802" cy="6810703"/>
            <wp:effectExtent l="533400" t="457200" r="792480" b="809625"/>
            <wp:docPr id="84667200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106528" cy="6822383"/>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16509835" w14:textId="77777777" w:rsidR="005312DD" w:rsidRDefault="005312DD" w:rsidP="005312DD">
      <w:pPr>
        <w:pStyle w:val="CGPC-elearning"/>
        <w:rPr>
          <w:rFonts w:ascii="Times New Roman" w:eastAsia="Times New Roman" w:hAnsi="Times New Roman" w:cs="Times New Roman"/>
          <w:lang w:eastAsia="fr-FR"/>
        </w:rPr>
      </w:pPr>
      <w:r>
        <w:br w:type="page"/>
      </w:r>
    </w:p>
    <w:p w14:paraId="07D274FE" w14:textId="77777777" w:rsidR="00197C2B" w:rsidRDefault="00197C2B" w:rsidP="00197C2B">
      <w:pPr>
        <w:pStyle w:val="NormalWeb"/>
        <w:spacing w:before="0" w:beforeAutospacing="0" w:after="0" w:afterAutospacing="0"/>
        <w:jc w:val="both"/>
        <w:textAlignment w:val="baseline"/>
        <w:rPr>
          <w:sz w:val="21"/>
          <w:szCs w:val="21"/>
        </w:rPr>
      </w:pPr>
    </w:p>
    <w:p w14:paraId="1CDE2B89" w14:textId="77777777" w:rsidR="009D3ACC" w:rsidRDefault="009D3ACC" w:rsidP="00197C2B">
      <w:pPr>
        <w:pStyle w:val="NormalWeb"/>
        <w:spacing w:before="0" w:beforeAutospacing="0" w:after="0" w:afterAutospacing="0"/>
        <w:jc w:val="both"/>
        <w:textAlignment w:val="baseline"/>
        <w:rPr>
          <w:sz w:val="21"/>
          <w:szCs w:val="21"/>
        </w:rPr>
      </w:pPr>
    </w:p>
    <w:p w14:paraId="677BE081" w14:textId="0095E0D8" w:rsidR="00197C2B" w:rsidRPr="00FC0002" w:rsidRDefault="00197C2B" w:rsidP="00FC0002">
      <w:pPr>
        <w:pStyle w:val="Titre3"/>
        <w:numPr>
          <w:ilvl w:val="0"/>
          <w:numId w:val="8"/>
        </w:numPr>
        <w:rPr>
          <w:szCs w:val="36"/>
        </w:rPr>
      </w:pPr>
      <w:bookmarkStart w:id="17" w:name="_Toc186712254"/>
      <w:r>
        <w:t>Les options sur titres (ou stock-options)</w:t>
      </w:r>
      <w:bookmarkEnd w:id="17"/>
    </w:p>
    <w:p w14:paraId="1660A46F" w14:textId="1177E002" w:rsidR="00197C2B" w:rsidRDefault="00197C2B" w:rsidP="00FC0002">
      <w:pPr>
        <w:pStyle w:val="Titre4"/>
        <w:numPr>
          <w:ilvl w:val="0"/>
          <w:numId w:val="18"/>
        </w:numPr>
      </w:pPr>
      <w:r>
        <w:t>Le champ d’application</w:t>
      </w:r>
    </w:p>
    <w:p w14:paraId="1490FB90" w14:textId="77777777" w:rsidR="00197C2B" w:rsidRDefault="00197C2B" w:rsidP="00FC0002">
      <w:pPr>
        <w:pStyle w:val="CGPC-elearning"/>
        <w:rPr>
          <w:rFonts w:ascii="Times New Roman" w:hAnsi="Times New Roman" w:cs="Times New Roman"/>
        </w:rPr>
      </w:pPr>
      <w:r>
        <w:t>Le mécanisme des options de souscription ou d’achat d’actions (options sur titres ou « stock-options ») offre aux salariés et dirigeants (président du conseil d’administration, directeur général, membres du directoire…) d’une société par actions, cotée ou non, la possibilité de souscrire ou d’acheter des titres de cette société.</w:t>
      </w:r>
    </w:p>
    <w:p w14:paraId="190F707F" w14:textId="77777777" w:rsidR="00197C2B" w:rsidRDefault="00197C2B" w:rsidP="00FC0002">
      <w:pPr>
        <w:pStyle w:val="CGPC-elearning"/>
      </w:pPr>
      <w:r>
        <w:t>Dans le cas d’une option de souscription, la société va créer de nouvelles actions.</w:t>
      </w:r>
    </w:p>
    <w:p w14:paraId="005B7FEC" w14:textId="77777777" w:rsidR="00197C2B" w:rsidRDefault="00197C2B" w:rsidP="00FC0002">
      <w:pPr>
        <w:pStyle w:val="CGPC-elearning"/>
      </w:pPr>
      <w:r>
        <w:t>Dans l’hypothèse d’une option d’achat, la société doit préalablement à l’exercice de l’option procéder à l’achat de ses propres titres.</w:t>
      </w:r>
    </w:p>
    <w:p w14:paraId="514734A9" w14:textId="77777777" w:rsidR="00197C2B" w:rsidRDefault="00197C2B" w:rsidP="00FC0002">
      <w:pPr>
        <w:pStyle w:val="CGPC-elearning"/>
      </w:pPr>
      <w:r>
        <w:t>L’avantage de ces options consiste pour les bénéficiaires la réalisation :</w:t>
      </w:r>
    </w:p>
    <w:p w14:paraId="33BC0C84" w14:textId="77777777" w:rsidR="00197C2B" w:rsidRDefault="00197C2B" w:rsidP="00FC0002">
      <w:pPr>
        <w:pStyle w:val="CGPC-elearning"/>
      </w:pPr>
      <w:r>
        <w:t>dans un premier temps, d’une plus-value d’acquisition, qui correspond à la différence entre la valeur réelle de l’action à la date de la levée de l’option et le prix de souscription ou d’achat de l’action ;</w:t>
      </w:r>
    </w:p>
    <w:p w14:paraId="5038F300" w14:textId="77777777" w:rsidR="00197C2B" w:rsidRDefault="00197C2B" w:rsidP="00FC0002">
      <w:pPr>
        <w:pStyle w:val="CGPC-elearning"/>
      </w:pPr>
      <w:r>
        <w:t>dans un deuxième temps, d’une plus-value de cession, qui correspond à la différence entre le prix de cession et la valeur réelle du titre à la date de la levée de l’option.</w:t>
      </w:r>
    </w:p>
    <w:p w14:paraId="3F92E12B" w14:textId="77777777" w:rsidR="009D3ACC" w:rsidRDefault="009D3ACC" w:rsidP="00FC0002">
      <w:pPr>
        <w:pStyle w:val="CGPC-elearning"/>
      </w:pPr>
    </w:p>
    <w:p w14:paraId="33CF390B" w14:textId="24EC23C9" w:rsidR="00197C2B" w:rsidRDefault="00197C2B" w:rsidP="00FC0002">
      <w:pPr>
        <w:pStyle w:val="Titre4"/>
      </w:pPr>
      <w:r>
        <w:t>Les deux plafonds du dispositif</w:t>
      </w:r>
    </w:p>
    <w:p w14:paraId="2FCC2002" w14:textId="77777777" w:rsidR="00197C2B" w:rsidRDefault="00197C2B" w:rsidP="00FC0002">
      <w:pPr>
        <w:pStyle w:val="CGPC-elearning"/>
        <w:rPr>
          <w:rFonts w:ascii="Times New Roman" w:hAnsi="Times New Roman" w:cs="Times New Roman"/>
        </w:rPr>
      </w:pPr>
      <w:r>
        <w:t>Le bénéficiaire d’options ne doit pas détenir plus de 10 % du capital social (le 1/3 si l’option est consentie dans les 2 ans de la création ou du rachat de la majorité du capital par les salariés ou dirigeants).</w:t>
      </w:r>
    </w:p>
    <w:p w14:paraId="44F4AB5E" w14:textId="77777777" w:rsidR="00197C2B" w:rsidRDefault="00197C2B" w:rsidP="00FC0002">
      <w:pPr>
        <w:pStyle w:val="CGPC-elearning"/>
      </w:pPr>
      <w:r>
        <w:t>Le montant total des options ouvertes et non encore levées ne peut donner droit à souscrire un nombre d’actions excédant le tiers du capital social (C. com., art. R. 225-143).</w:t>
      </w:r>
    </w:p>
    <w:p w14:paraId="795F094A" w14:textId="61BD640B" w:rsidR="00197C2B" w:rsidRDefault="00197C2B" w:rsidP="00FC0002">
      <w:pPr>
        <w:pStyle w:val="Titre3"/>
      </w:pPr>
      <w:bookmarkStart w:id="18" w:name="_Toc186712255"/>
      <w:r>
        <w:t>Des obligations spécifiques pour les sociétés cotées</w:t>
      </w:r>
      <w:bookmarkEnd w:id="18"/>
    </w:p>
    <w:p w14:paraId="4DF45B69" w14:textId="00D504A5" w:rsidR="00197C2B" w:rsidRDefault="009D3ACC" w:rsidP="00FC0002">
      <w:pPr>
        <w:pStyle w:val="CGPC-elearning"/>
        <w:rPr>
          <w:rFonts w:ascii="Times New Roman" w:hAnsi="Times New Roman" w:cs="Times New Roman"/>
        </w:rPr>
      </w:pPr>
      <w:r>
        <w:br/>
      </w:r>
      <w:r w:rsidR="00197C2B">
        <w:t>Depuis la loi n° 2008-1258 du 3 décembre 2008 en faveur des revenus du travail, l’attribution d’options aux dirigeants mandataires sociaux de société dont les titres sont admis aux négociations sur un marché réglementé est conditionnée :</w:t>
      </w:r>
    </w:p>
    <w:p w14:paraId="3263AAFB" w14:textId="77777777" w:rsidR="00197C2B" w:rsidRDefault="00197C2B" w:rsidP="00FC0002">
      <w:pPr>
        <w:pStyle w:val="CGPC-elearning"/>
      </w:pPr>
      <w:r>
        <w:t>soit par l’attribution des options à l’ensemble de ses salariés (et à au moins 90 % des salariés de ses filiales françaises) ;</w:t>
      </w:r>
    </w:p>
    <w:p w14:paraId="34A31EE0" w14:textId="77777777" w:rsidR="00197C2B" w:rsidRDefault="00197C2B" w:rsidP="00FC0002">
      <w:pPr>
        <w:pStyle w:val="CGPC-elearning"/>
      </w:pPr>
      <w:r>
        <w:lastRenderedPageBreak/>
        <w:t>soit par la mise en place d’un accord d’intéressement ou de participation au bénéfice de ses salariés (et d’au moins 90 % des salariés de ses filiales).</w:t>
      </w:r>
    </w:p>
    <w:p w14:paraId="071FCF23" w14:textId="77777777" w:rsidR="009D3ACC" w:rsidRDefault="009D3ACC" w:rsidP="00FC0002">
      <w:pPr>
        <w:pStyle w:val="CGPC-elearning"/>
      </w:pPr>
    </w:p>
    <w:p w14:paraId="70E439FC" w14:textId="0B941C51" w:rsidR="00197C2B" w:rsidRDefault="00197C2B" w:rsidP="00FC0002">
      <w:pPr>
        <w:pStyle w:val="Titre3"/>
      </w:pPr>
      <w:bookmarkStart w:id="19" w:name="_Toc186712256"/>
      <w:r>
        <w:t>Procédure d’émission, d’attribution et d’exercice des options</w:t>
      </w:r>
      <w:bookmarkEnd w:id="19"/>
    </w:p>
    <w:p w14:paraId="7839BAB7" w14:textId="77777777" w:rsidR="003D2EB1" w:rsidRDefault="003D2EB1" w:rsidP="00197C2B">
      <w:pPr>
        <w:pStyle w:val="NormalWeb"/>
        <w:spacing w:before="0" w:beforeAutospacing="0" w:after="0" w:afterAutospacing="0"/>
        <w:jc w:val="both"/>
        <w:textAlignment w:val="baseline"/>
        <w:rPr>
          <w:sz w:val="21"/>
          <w:szCs w:val="21"/>
        </w:rPr>
      </w:pPr>
    </w:p>
    <w:p w14:paraId="7E9164BD" w14:textId="4C0F0B85" w:rsidR="00197C2B" w:rsidRDefault="00197C2B" w:rsidP="00FC0002">
      <w:pPr>
        <w:pStyle w:val="CGPC-elearning"/>
        <w:rPr>
          <w:rFonts w:ascii="Times New Roman" w:hAnsi="Times New Roman" w:cs="Times New Roman"/>
        </w:rPr>
      </w:pPr>
      <w:r>
        <w:t>L’attribution repose sur une décision de l’assemblée générale extraordinaire (AGE), prise sur le rapport du conseil d’administration (CA) ou du directoire et sur le rapport spécial des commissaires aux comptes (CAC).</w:t>
      </w:r>
    </w:p>
    <w:p w14:paraId="2AD2B1F4" w14:textId="77777777" w:rsidR="00197C2B" w:rsidRDefault="00197C2B" w:rsidP="00FC0002">
      <w:pPr>
        <w:pStyle w:val="CGPC-elearning"/>
      </w:pPr>
      <w:r>
        <w:t>L’AGE fixe :</w:t>
      </w:r>
    </w:p>
    <w:p w14:paraId="7001AAE4" w14:textId="77777777" w:rsidR="00197C2B" w:rsidRDefault="00197C2B" w:rsidP="00FC0002">
      <w:pPr>
        <w:pStyle w:val="CGPC-elearning"/>
      </w:pPr>
      <w:r>
        <w:t>le délai pendant lequel le CA peut utiliser l’autorisation (38 mois maximum) ;</w:t>
      </w:r>
    </w:p>
    <w:p w14:paraId="0B05D116" w14:textId="77777777" w:rsidR="00197C2B" w:rsidRDefault="00197C2B" w:rsidP="00FC0002">
      <w:pPr>
        <w:pStyle w:val="CGPC-elearning"/>
      </w:pPr>
      <w:r>
        <w:t>les bénéficiaires potentiels ;</w:t>
      </w:r>
    </w:p>
    <w:p w14:paraId="7932EDF7" w14:textId="77777777" w:rsidR="00197C2B" w:rsidRDefault="00197C2B" w:rsidP="00FC0002">
      <w:pPr>
        <w:pStyle w:val="CGPC-elearning"/>
      </w:pPr>
      <w:r>
        <w:t>les modalités de façon générale ;</w:t>
      </w:r>
    </w:p>
    <w:p w14:paraId="31E006AE" w14:textId="77777777" w:rsidR="00197C2B" w:rsidRDefault="00197C2B" w:rsidP="00FC0002">
      <w:pPr>
        <w:pStyle w:val="CGPC-elearning"/>
      </w:pPr>
      <w:r>
        <w:t>le type d’options ;</w:t>
      </w:r>
    </w:p>
    <w:p w14:paraId="7A6D150D" w14:textId="77777777" w:rsidR="00197C2B" w:rsidRDefault="00197C2B" w:rsidP="00FC0002">
      <w:pPr>
        <w:pStyle w:val="CGPC-elearning"/>
      </w:pPr>
      <w:r>
        <w:t>un plafond.</w:t>
      </w:r>
    </w:p>
    <w:p w14:paraId="6A5A3719" w14:textId="77777777" w:rsidR="009D3ACC" w:rsidRDefault="009D3ACC" w:rsidP="00FC0002">
      <w:pPr>
        <w:pStyle w:val="CGPC-elearning"/>
      </w:pPr>
    </w:p>
    <w:p w14:paraId="45CD9DBE" w14:textId="77777777" w:rsidR="00197C2B" w:rsidRDefault="00197C2B" w:rsidP="00FC0002">
      <w:pPr>
        <w:pStyle w:val="CGPC-elearning"/>
      </w:pPr>
      <w:r>
        <w:t>L’AGE doit obligatoirement se prononcer sur :</w:t>
      </w:r>
    </w:p>
    <w:p w14:paraId="7C294BF9" w14:textId="77777777" w:rsidR="00197C2B" w:rsidRDefault="00197C2B" w:rsidP="00FC0002">
      <w:pPr>
        <w:pStyle w:val="CGPC-elearning"/>
      </w:pPr>
      <w:r>
        <w:t>les modalités de fixation du prix de souscription ou d’achat des actions ;</w:t>
      </w:r>
    </w:p>
    <w:p w14:paraId="57549A5F" w14:textId="77777777" w:rsidR="00197C2B" w:rsidRDefault="00197C2B" w:rsidP="00FC0002">
      <w:pPr>
        <w:pStyle w:val="CGPC-elearning"/>
      </w:pPr>
      <w:r>
        <w:t>le délai pendant lequel les options pourront être exercées ;</w:t>
      </w:r>
    </w:p>
    <w:p w14:paraId="63B325B9" w14:textId="3111BFF7" w:rsidR="00197C2B" w:rsidRDefault="009D3ACC" w:rsidP="00FC0002">
      <w:pPr>
        <w:pStyle w:val="CGPC-elearning"/>
      </w:pPr>
      <w:r>
        <w:br/>
        <w:t>P</w:t>
      </w:r>
      <w:r w:rsidR="00197C2B">
        <w:t>our le surplus, l’AGE peut donner au CA des pouvoirs étendus (fixer la nature des options offertes, les conditions d’attribution de ces options et leurs modalités d’exercice).</w:t>
      </w:r>
    </w:p>
    <w:p w14:paraId="6ABB03AB" w14:textId="77777777" w:rsidR="00197C2B" w:rsidRDefault="00197C2B" w:rsidP="00FC0002">
      <w:pPr>
        <w:pStyle w:val="CGPC-elearning"/>
      </w:pPr>
      <w:r>
        <w:t>Le conseil d’administration fixe les modalités d’attribution des options et notamment :</w:t>
      </w:r>
    </w:p>
    <w:p w14:paraId="2388B2AE" w14:textId="37A2F6FE" w:rsidR="00197C2B" w:rsidRDefault="00FD0054" w:rsidP="00FC0002">
      <w:pPr>
        <w:pStyle w:val="CGPC-elearning"/>
      </w:pPr>
      <w:r>
        <w:t xml:space="preserve">- </w:t>
      </w:r>
      <w:r w:rsidR="00197C2B">
        <w:t>choisit entre l’octroi d’options de souscription et celui d’options d’achat d’actions ;</w:t>
      </w:r>
    </w:p>
    <w:p w14:paraId="4E3B84D8" w14:textId="7A3B57F9" w:rsidR="00197C2B" w:rsidRDefault="00FD0054" w:rsidP="00FC0002">
      <w:pPr>
        <w:pStyle w:val="CGPC-elearning"/>
      </w:pPr>
      <w:r>
        <w:t xml:space="preserve">- </w:t>
      </w:r>
      <w:r w:rsidR="00197C2B">
        <w:t>arrête la date à partir de laquelle les options sont offertes ;</w:t>
      </w:r>
    </w:p>
    <w:p w14:paraId="5C641ED2" w14:textId="51AAE3F1" w:rsidR="00197C2B" w:rsidRDefault="00FD0054" w:rsidP="00FC0002">
      <w:pPr>
        <w:pStyle w:val="CGPC-elearning"/>
      </w:pPr>
      <w:r>
        <w:t xml:space="preserve">- </w:t>
      </w:r>
      <w:r w:rsidR="00197C2B">
        <w:t>détermine le nombre et la qualité des bénéficiaires des options ;</w:t>
      </w:r>
    </w:p>
    <w:p w14:paraId="07FF3BA7" w14:textId="23F77164" w:rsidR="00197C2B" w:rsidRDefault="00FD0054" w:rsidP="00FC0002">
      <w:pPr>
        <w:pStyle w:val="CGPC-elearning"/>
      </w:pPr>
      <w:r>
        <w:t xml:space="preserve">- </w:t>
      </w:r>
      <w:r w:rsidR="00197C2B">
        <w:t>détermine le nombre maximal des actions sous-jacentes (dans la limite du tiers du capital social : C. com., art. L. 225-182 et R. 225-143) ;</w:t>
      </w:r>
    </w:p>
    <w:p w14:paraId="65A03594" w14:textId="66C5BED3" w:rsidR="00197C2B" w:rsidRDefault="00FD0054" w:rsidP="00FC0002">
      <w:pPr>
        <w:pStyle w:val="CGPC-elearning"/>
      </w:pPr>
      <w:r>
        <w:t xml:space="preserve">- </w:t>
      </w:r>
      <w:r w:rsidR="00197C2B">
        <w:t>fixe le prix d’achat ou de souscription au moment de la levée :</w:t>
      </w:r>
    </w:p>
    <w:p w14:paraId="4E346CA5" w14:textId="4B369904" w:rsidR="00197C2B" w:rsidRDefault="00FD0054" w:rsidP="00FC0002">
      <w:pPr>
        <w:pStyle w:val="CGPC-elearning"/>
      </w:pPr>
      <w:r>
        <w:lastRenderedPageBreak/>
        <w:t xml:space="preserve">- </w:t>
      </w:r>
      <w:r w:rsidR="00197C2B">
        <w:t>le jour où l’option est consentie,</w:t>
      </w:r>
    </w:p>
    <w:p w14:paraId="4C38D5C6" w14:textId="77777777" w:rsidR="00197C2B" w:rsidRDefault="00197C2B" w:rsidP="00FC0002">
      <w:pPr>
        <w:pStyle w:val="CGPC-elearning"/>
      </w:pPr>
      <w:r>
        <w:t>selon les modalités déterminées par l’AGE (sur rapport des CAC),</w:t>
      </w:r>
    </w:p>
    <w:p w14:paraId="3B6DF2FC" w14:textId="77777777" w:rsidR="00197C2B" w:rsidRDefault="00197C2B" w:rsidP="00FC0002">
      <w:pPr>
        <w:pStyle w:val="CGPC-elearning"/>
      </w:pPr>
      <w:r>
        <w:t>le prix ne pouvant être modifié pendant la durée de l’option (sauf opérations intercalaires).</w:t>
      </w:r>
    </w:p>
    <w:p w14:paraId="040F702A" w14:textId="77777777" w:rsidR="00197C2B" w:rsidRDefault="00197C2B" w:rsidP="00FC0002">
      <w:pPr>
        <w:pStyle w:val="CGPC-elearning"/>
      </w:pPr>
      <w:r>
        <w:t>Dans les sociétés cotées, le prix ne peut être inférieur à 80 % de la moyenne des cours cotés aux 20 séances de bourse précédant ce jour.</w:t>
      </w:r>
    </w:p>
    <w:p w14:paraId="08990BAB" w14:textId="77777777" w:rsidR="00FD0054" w:rsidRDefault="00FD0054" w:rsidP="00FC0002">
      <w:pPr>
        <w:pStyle w:val="CGPC-elearning"/>
      </w:pPr>
    </w:p>
    <w:p w14:paraId="72615118" w14:textId="77777777" w:rsidR="00FD0054" w:rsidRDefault="00FD0054" w:rsidP="00FC0002">
      <w:pPr>
        <w:pStyle w:val="CGPC-elearning"/>
      </w:pPr>
    </w:p>
    <w:p w14:paraId="5F4E9ABA" w14:textId="21D975B8" w:rsidR="00197C2B" w:rsidRDefault="00197C2B" w:rsidP="00FC0002">
      <w:pPr>
        <w:pStyle w:val="Titre3"/>
      </w:pPr>
      <w:bookmarkStart w:id="20" w:name="_Toc186712257"/>
      <w:r>
        <w:t>Un régime fiscal à 3 niveaux</w:t>
      </w:r>
      <w:bookmarkEnd w:id="20"/>
    </w:p>
    <w:p w14:paraId="1A710BD8" w14:textId="77777777" w:rsidR="00FD0054" w:rsidRDefault="00FD0054" w:rsidP="00FC0002">
      <w:pPr>
        <w:pStyle w:val="Titre4"/>
      </w:pPr>
    </w:p>
    <w:p w14:paraId="6592B67F" w14:textId="2E85D39C" w:rsidR="00197C2B" w:rsidRDefault="00197C2B" w:rsidP="00FC0002">
      <w:pPr>
        <w:pStyle w:val="Titre4"/>
        <w:numPr>
          <w:ilvl w:val="0"/>
          <w:numId w:val="19"/>
        </w:numPr>
      </w:pPr>
      <w:r>
        <w:t>L’imposition du rabais excédentaire</w:t>
      </w:r>
    </w:p>
    <w:p w14:paraId="487019AD" w14:textId="77777777" w:rsidR="00197C2B" w:rsidRDefault="00197C2B" w:rsidP="00FC0002">
      <w:pPr>
        <w:pStyle w:val="CGPC-elearning"/>
        <w:rPr>
          <w:rFonts w:ascii="Times New Roman" w:hAnsi="Times New Roman" w:cs="Times New Roman"/>
        </w:rPr>
      </w:pPr>
      <w:r>
        <w:t>Les stock-options permettent d’obtenir des actions d’entreprises à un prix fixé avantageux. Ce rabais est compris entre 0 % et 20 % du prix calculé sur la moyenne des 20 séances de bourse précédant la date d’attribution de l’option.</w:t>
      </w:r>
    </w:p>
    <w:p w14:paraId="0F95DF23" w14:textId="507E541D" w:rsidR="00197C2B" w:rsidRDefault="00197C2B" w:rsidP="00FC0002">
      <w:pPr>
        <w:pStyle w:val="CGPC-elearning"/>
      </w:pPr>
      <w:r>
        <w:rPr>
          <w:b/>
          <w:noProof/>
          <w:bdr w:val="none" w:sz="0" w:space="0" w:color="auto" w:frame="1"/>
          <w:lang w:eastAsia="fr-FR"/>
        </w:rPr>
        <w:drawing>
          <wp:inline distT="0" distB="0" distL="0" distR="0" wp14:anchorId="248D85CA" wp14:editId="59D9F76C">
            <wp:extent cx="260985" cy="178435"/>
            <wp:effectExtent l="0" t="0" r="5715" b="0"/>
            <wp:docPr id="43752156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Pr>
          <w:rStyle w:val="lev"/>
          <w:i/>
          <w:iCs/>
          <w:sz w:val="21"/>
          <w:szCs w:val="21"/>
          <w:u w:val="single"/>
          <w:bdr w:val="none" w:sz="0" w:space="0" w:color="auto" w:frame="1"/>
        </w:rPr>
        <w:t>Exemple :</w:t>
      </w:r>
      <w:r>
        <w:rPr>
          <w:rStyle w:val="Accentuation"/>
          <w:sz w:val="21"/>
          <w:szCs w:val="21"/>
        </w:rPr>
        <w:t> si la moyenne des cours des 20 séances de bourse précédant la date d’attribution des stock-options est de 100 euros, le rabais décidé par l’entreprise ne doit pas dépasser 20 euros (20 % de 100 euros).</w:t>
      </w:r>
    </w:p>
    <w:p w14:paraId="039DFAAA" w14:textId="77777777" w:rsidR="00197C2B" w:rsidRDefault="00197C2B" w:rsidP="00FC0002">
      <w:pPr>
        <w:pStyle w:val="CGPC-elearning"/>
      </w:pPr>
      <w:r>
        <w:t>L’administration fiscale précise que lorsque le rabais est supérieur à 5 %, l’excédent (du rabais) est passible de l’impôt sur le revenu selon les règles des traitements et salaires.  Cela signifie qu’une exonération d’impôt sur le revenu est accordée sur la fraction du rabais qui ne dépasse pas 5 % de la valeur des actions.</w:t>
      </w:r>
    </w:p>
    <w:p w14:paraId="5EA60108" w14:textId="4B71A849" w:rsidR="00197C2B" w:rsidRDefault="00197C2B" w:rsidP="00FC0002">
      <w:pPr>
        <w:pStyle w:val="CGPC-elearning"/>
      </w:pPr>
      <w:r>
        <w:rPr>
          <w:b/>
          <w:noProof/>
          <w:bdr w:val="none" w:sz="0" w:space="0" w:color="auto" w:frame="1"/>
          <w:lang w:eastAsia="fr-FR"/>
        </w:rPr>
        <w:drawing>
          <wp:inline distT="0" distB="0" distL="0" distR="0" wp14:anchorId="64526F05" wp14:editId="1A701B74">
            <wp:extent cx="260985" cy="178435"/>
            <wp:effectExtent l="0" t="0" r="5715" b="0"/>
            <wp:docPr id="161211492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Pr>
          <w:rStyle w:val="lev"/>
          <w:i/>
          <w:iCs/>
          <w:sz w:val="21"/>
          <w:szCs w:val="21"/>
          <w:u w:val="single"/>
          <w:bdr w:val="none" w:sz="0" w:space="0" w:color="auto" w:frame="1"/>
        </w:rPr>
        <w:t>Exemple :</w:t>
      </w:r>
      <w:r>
        <w:rPr>
          <w:rStyle w:val="Accentuation"/>
          <w:sz w:val="21"/>
          <w:szCs w:val="21"/>
        </w:rPr>
        <w:t xml:space="preserve"> une société propose d’acquérir 100 actions au prix de 200 euros. Ces actions sont cotées 300 euros au moment où ces </w:t>
      </w:r>
      <w:proofErr w:type="spellStart"/>
      <w:r>
        <w:rPr>
          <w:rStyle w:val="Accentuation"/>
          <w:sz w:val="21"/>
          <w:szCs w:val="21"/>
        </w:rPr>
        <w:t>stocks-options</w:t>
      </w:r>
      <w:proofErr w:type="spellEnd"/>
      <w:r>
        <w:rPr>
          <w:rStyle w:val="Accentuation"/>
          <w:sz w:val="21"/>
          <w:szCs w:val="21"/>
        </w:rPr>
        <w:t xml:space="preserve"> sont proposées.</w:t>
      </w:r>
      <w:r>
        <w:rPr>
          <w:bdr w:val="none" w:sz="0" w:space="0" w:color="auto" w:frame="1"/>
        </w:rPr>
        <w:br/>
      </w:r>
      <w:r>
        <w:rPr>
          <w:rStyle w:val="Accentuation"/>
          <w:sz w:val="21"/>
          <w:szCs w:val="21"/>
        </w:rPr>
        <w:t>Le rabais est donc de 100 euros par action.</w:t>
      </w:r>
      <w:r>
        <w:rPr>
          <w:bdr w:val="none" w:sz="0" w:space="0" w:color="auto" w:frame="1"/>
        </w:rPr>
        <w:br/>
      </w:r>
      <w:r>
        <w:rPr>
          <w:rStyle w:val="Accentuation"/>
          <w:sz w:val="21"/>
          <w:szCs w:val="21"/>
        </w:rPr>
        <w:t>La fraction du rabais qui excède 5 % de la valeur des actions, soit 85 euros par action [100 euros – (300 x 5 %)], est imposable au titre de l’année de levée d’option.</w:t>
      </w:r>
      <w:r>
        <w:rPr>
          <w:bdr w:val="none" w:sz="0" w:space="0" w:color="auto" w:frame="1"/>
        </w:rPr>
        <w:br/>
      </w:r>
      <w:r>
        <w:rPr>
          <w:rStyle w:val="Accentuation"/>
          <w:sz w:val="21"/>
          <w:szCs w:val="21"/>
        </w:rPr>
        <w:t>Le montant imposable en salaire sera de 85 euros (rabais excédentaire) x 100 (nombre d’actions proposées) = 8 500 euros à déclarer dans la rubrique « traitements, salaires… ».</w:t>
      </w:r>
    </w:p>
    <w:p w14:paraId="21826F5E" w14:textId="77777777" w:rsidR="00197C2B" w:rsidRDefault="00197C2B" w:rsidP="00FC0002">
      <w:pPr>
        <w:pStyle w:val="CGPC-elearning"/>
      </w:pPr>
      <w:r>
        <w:t>Les contributions sociales sont dues aux taux applicables aux salaires, soit 9,2 % pour la CSG et 0,5 % pour la CRDS pour les revenus de 2022.</w:t>
      </w:r>
    </w:p>
    <w:p w14:paraId="23F72C5C" w14:textId="6B639B77" w:rsidR="00197C2B" w:rsidRDefault="00197C2B" w:rsidP="00FC0002">
      <w:pPr>
        <w:pStyle w:val="Titre4"/>
      </w:pPr>
      <w:r>
        <w:t>L’imposition du gain d’acquisition</w:t>
      </w:r>
    </w:p>
    <w:p w14:paraId="5C6D9CA3" w14:textId="77777777" w:rsidR="00197C2B" w:rsidRDefault="00197C2B" w:rsidP="00FC0002">
      <w:pPr>
        <w:pStyle w:val="CGPC-elearning"/>
        <w:rPr>
          <w:rFonts w:ascii="Times New Roman" w:hAnsi="Times New Roman" w:cs="Times New Roman"/>
        </w:rPr>
      </w:pPr>
      <w:r>
        <w:t>La plus-value d’acquisition (ou gain de levée d’option) est la différence entre le cours de l’action à la date de la levée de l’option et le prix payé par le bénéficiaire sous déduction, le cas échéant, du rabais excédentaire déjà taxé.</w:t>
      </w:r>
    </w:p>
    <w:p w14:paraId="741F0389" w14:textId="77777777" w:rsidR="00197C2B" w:rsidRDefault="00197C2B" w:rsidP="00FC0002">
      <w:pPr>
        <w:pStyle w:val="CGPC-elearning"/>
      </w:pPr>
      <w:r>
        <w:t>L’avantage est imposé dans la catégorie des plus-values de cessions de valeurs mobilières (régime propre aux stock-options) ou dans celle des traitement et salaires l’année au cours de laquelle le bénéficiaire a disposé des titres.</w:t>
      </w:r>
    </w:p>
    <w:p w14:paraId="64D7954E" w14:textId="77777777" w:rsidR="00197C2B" w:rsidRDefault="00197C2B" w:rsidP="00FC0002">
      <w:pPr>
        <w:pStyle w:val="CGPC-elearning"/>
      </w:pPr>
      <w:r>
        <w:lastRenderedPageBreak/>
        <w:t>Les modalités d’imposition de ce gain de levée d’option diffèrent selon la date d’attribution des options.</w:t>
      </w:r>
    </w:p>
    <w:p w14:paraId="3D87B8F6" w14:textId="77777777" w:rsidR="00197C2B" w:rsidRDefault="00197C2B" w:rsidP="00FC0002">
      <w:pPr>
        <w:pStyle w:val="CGPC-elearning"/>
      </w:pPr>
      <w:r>
        <w:t>Si les options ont été attribuées avant le 20 septembre 1995, et sous réserve du respect des conditions de forme et d’indisponibilité, le gain est imposé selon les règles applicables en matière de plus-value de cession de valeurs mobilières. Il est également assujetti aux prélèvements sociaux.</w:t>
      </w:r>
    </w:p>
    <w:p w14:paraId="1ACF973A" w14:textId="77777777" w:rsidR="00197C2B" w:rsidRDefault="00197C2B" w:rsidP="00FC0002">
      <w:pPr>
        <w:pStyle w:val="CGPC-elearning"/>
      </w:pPr>
      <w:r>
        <w:t>Si les options ont été attribuées entre le 20 septembre 1995 et le 26 avril 2000, le gain est imposable comme plus-value sur cession de valeurs mobilières au taux spécifique de 30 % ou, sur option, comme salaire (sans application du quotient). Il est également assujetti aux prélèvements sociaux.</w:t>
      </w:r>
    </w:p>
    <w:p w14:paraId="28E94817" w14:textId="77777777" w:rsidR="00197C2B" w:rsidRDefault="00197C2B" w:rsidP="00FC0002">
      <w:pPr>
        <w:pStyle w:val="CGPC-elearning"/>
      </w:pPr>
      <w:r>
        <w:t>Si les actions ont été attribuées entre le 26 avril 2000 et le 28 septembre 2012, il est nécessaire de respecter un délai d’indisponibilité de 4 ans décompté depuis la date d’attribution de l’option. Le gain est imposé aux taux forfaitaires de :</w:t>
      </w:r>
    </w:p>
    <w:p w14:paraId="187F60CA" w14:textId="6203674F" w:rsidR="00197C2B" w:rsidRDefault="00FD0054" w:rsidP="00FC0002">
      <w:pPr>
        <w:pStyle w:val="CGPC-elearning"/>
      </w:pPr>
      <w:r>
        <w:t xml:space="preserve">- </w:t>
      </w:r>
      <w:r w:rsidR="00197C2B">
        <w:t>30 % pour la fraction du gain inférieure à 152 500 euros ;</w:t>
      </w:r>
    </w:p>
    <w:p w14:paraId="69B0F554" w14:textId="41F0DFDF" w:rsidR="00197C2B" w:rsidRDefault="00FD0054" w:rsidP="00FC0002">
      <w:pPr>
        <w:pStyle w:val="CGPC-elearning"/>
      </w:pPr>
      <w:r>
        <w:t xml:space="preserve">- </w:t>
      </w:r>
      <w:r w:rsidR="00197C2B">
        <w:t>41 % pour la fraction supérieure.</w:t>
      </w:r>
    </w:p>
    <w:p w14:paraId="44C09073" w14:textId="77777777" w:rsidR="00197C2B" w:rsidRDefault="00197C2B" w:rsidP="00FC0002">
      <w:pPr>
        <w:pStyle w:val="CGPC-elearning"/>
      </w:pPr>
      <w:r>
        <w:t>Si un délai de conservation supplémentaire de 2 ans (appelé délai de portage, soit un délai total de 6 ans à compter de la date d’attribution) a été respecté, les taux d’imposition forfaitaires sont respectivement de :</w:t>
      </w:r>
    </w:p>
    <w:p w14:paraId="2A726C10" w14:textId="77777777" w:rsidR="00197C2B" w:rsidRDefault="00197C2B" w:rsidP="00FC0002">
      <w:pPr>
        <w:pStyle w:val="CGPC-elearning"/>
      </w:pPr>
      <w:r>
        <w:t>18 % pour la fraction inférieure ou égale à 152 500 euros ;</w:t>
      </w:r>
    </w:p>
    <w:p w14:paraId="02A864F4" w14:textId="77777777" w:rsidR="00197C2B" w:rsidRDefault="00197C2B" w:rsidP="00FC0002">
      <w:pPr>
        <w:pStyle w:val="CGPC-elearning"/>
      </w:pPr>
      <w:r>
        <w:t>30 % pour la fraction supérieure à 152 500 euros.</w:t>
      </w:r>
    </w:p>
    <w:p w14:paraId="11358E87" w14:textId="77777777" w:rsidR="00197C2B" w:rsidRDefault="00197C2B" w:rsidP="00FC0002">
      <w:pPr>
        <w:pStyle w:val="CGPC-elearning"/>
      </w:pPr>
      <w:r>
        <w:t>Il est possible d’opter pour l’imposition du gain de levée d’option selon les règles de droit commun applicables aux traitements et salaires.</w:t>
      </w:r>
    </w:p>
    <w:p w14:paraId="4EA99920" w14:textId="77777777" w:rsidR="00197C2B" w:rsidRDefault="00197C2B" w:rsidP="00FC0002">
      <w:pPr>
        <w:pStyle w:val="CGPC-elearning"/>
      </w:pPr>
      <w:r>
        <w:t>Le gain de levée d’option est également soumis aux prélèvements sociaux au taux de 17,2 % ainsi qu’à une contribution salariale de 10 % pour les options attribuées à compter du 16 octobre 2007.</w:t>
      </w:r>
    </w:p>
    <w:p w14:paraId="5B64476D" w14:textId="77777777" w:rsidR="00197C2B" w:rsidRDefault="00197C2B" w:rsidP="00FC0002">
      <w:pPr>
        <w:pStyle w:val="CGPC-elearning"/>
      </w:pPr>
      <w:r>
        <w:t>Si les actions ont été attribuées après le 28 septembre 2012, le gain de levée d’option est taxé au barème progressif de l’impôt sur le revenu dans la catégorie des traitements et salaires.</w:t>
      </w:r>
    </w:p>
    <w:p w14:paraId="31150288" w14:textId="77777777" w:rsidR="00197C2B" w:rsidRDefault="00197C2B" w:rsidP="00FC0002">
      <w:pPr>
        <w:pStyle w:val="CGPC-elearning"/>
      </w:pPr>
      <w:r>
        <w:t>Il est également soumis à la CSG (9,2 %) et à la CRDS (0,5 %) au titre des revenus d’activité perçus en 2022 ainsi qu’à une contribution salariale de 10 %.</w:t>
      </w:r>
    </w:p>
    <w:p w14:paraId="50C94E85" w14:textId="77777777" w:rsidR="00FD0054" w:rsidRDefault="00FD0054" w:rsidP="00FC0002">
      <w:pPr>
        <w:pStyle w:val="CGPC-elearning"/>
      </w:pPr>
    </w:p>
    <w:p w14:paraId="0E0EDE65" w14:textId="0FDA3DB2" w:rsidR="00197C2B" w:rsidRDefault="00197C2B" w:rsidP="00FC0002">
      <w:pPr>
        <w:pStyle w:val="Titre4"/>
      </w:pPr>
      <w:r>
        <w:t>L’imposition du gain de cession</w:t>
      </w:r>
    </w:p>
    <w:p w14:paraId="6B768B00" w14:textId="77777777" w:rsidR="00197C2B" w:rsidRDefault="00197C2B" w:rsidP="00FC0002">
      <w:pPr>
        <w:pStyle w:val="CGPC-elearning"/>
        <w:rPr>
          <w:rFonts w:ascii="Times New Roman" w:hAnsi="Times New Roman" w:cs="Times New Roman"/>
        </w:rPr>
      </w:pPr>
      <w:r>
        <w:t>La plus-value réalisée est égale à la différence entre le prix de cession des titres et leur valeur réelle à la date de levée d’options.</w:t>
      </w:r>
    </w:p>
    <w:p w14:paraId="3DBF75B0" w14:textId="77777777" w:rsidR="00197C2B" w:rsidRDefault="00197C2B" w:rsidP="00FC0002">
      <w:pPr>
        <w:pStyle w:val="CGPC-elearning"/>
      </w:pPr>
      <w:r>
        <w:t>La plus-value de cession des titres, après application éventuelle des abattements pour durée de détention et de l’abattement prévu en faveur des dirigeants qui partent à la retraite, est imposée au taux de 12,8 %, sauf option pour l’imposition au barème de l’impôt sur le revenu. La plus-value avant abattements est soumise aux prélèvements sociaux au taux de 17,2 %.</w:t>
      </w:r>
    </w:p>
    <w:p w14:paraId="7512AFFC" w14:textId="7FB59100" w:rsidR="00197C2B" w:rsidRDefault="00197C2B" w:rsidP="00FC0002">
      <w:pPr>
        <w:pStyle w:val="CGPC-elearning"/>
      </w:pPr>
      <w:r>
        <w:rPr>
          <w:b/>
          <w:noProof/>
          <w:bdr w:val="none" w:sz="0" w:space="0" w:color="auto" w:frame="1"/>
          <w:lang w:eastAsia="fr-FR"/>
        </w:rPr>
        <w:lastRenderedPageBreak/>
        <w:drawing>
          <wp:inline distT="0" distB="0" distL="0" distR="0" wp14:anchorId="497A0E73" wp14:editId="7C5FBBD3">
            <wp:extent cx="189865" cy="189865"/>
            <wp:effectExtent l="0" t="0" r="635" b="635"/>
            <wp:docPr id="82310045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Pr>
          <w:rStyle w:val="lev"/>
          <w:i/>
          <w:iCs/>
          <w:sz w:val="21"/>
          <w:szCs w:val="21"/>
          <w:u w:val="single"/>
          <w:bdr w:val="none" w:sz="0" w:space="0" w:color="auto" w:frame="1"/>
        </w:rPr>
        <w:t>Nota :</w:t>
      </w:r>
      <w:r>
        <w:rPr>
          <w:rStyle w:val="Accentuation"/>
          <w:sz w:val="21"/>
          <w:szCs w:val="21"/>
        </w:rPr>
        <w:t> si le bénéficiaire fait une levée/vente, il ne réalise qu’une plus-value d’acquisition. S’il lève et conserve les actions en portefeuille, la plus-value d’acquisition est constatée et ne sera imposée que lors de la cession effective des actions, à laquelle s’ajoutera le gain si le prix de vente est supérieur au prix d’acquisition.</w:t>
      </w:r>
    </w:p>
    <w:p w14:paraId="68F64896" w14:textId="6D8CCB27" w:rsidR="00197C2B" w:rsidRDefault="00197C2B" w:rsidP="00FC0002">
      <w:pPr>
        <w:pStyle w:val="CGPC-elearning"/>
      </w:pPr>
      <w:r>
        <w:rPr>
          <w:b/>
          <w:noProof/>
          <w:bdr w:val="none" w:sz="0" w:space="0" w:color="auto" w:frame="1"/>
          <w:lang w:eastAsia="fr-FR"/>
        </w:rPr>
        <w:drawing>
          <wp:inline distT="0" distB="0" distL="0" distR="0" wp14:anchorId="6A892060" wp14:editId="29D50E28">
            <wp:extent cx="189865" cy="189865"/>
            <wp:effectExtent l="0" t="0" r="635" b="635"/>
            <wp:docPr id="107858248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Pr>
          <w:rStyle w:val="lev"/>
          <w:i/>
          <w:iCs/>
          <w:sz w:val="21"/>
          <w:szCs w:val="21"/>
          <w:u w:val="single"/>
          <w:bdr w:val="none" w:sz="0" w:space="0" w:color="auto" w:frame="1"/>
        </w:rPr>
        <w:t>À noter : </w:t>
      </w:r>
      <w:r>
        <w:rPr>
          <w:rStyle w:val="Accentuation"/>
          <w:sz w:val="21"/>
          <w:szCs w:val="21"/>
        </w:rPr>
        <w:t>Il n’est plus nécessaire de joindre à la déclaration des revenus souscrite au titre de l’année de levée des options l’état individuel qui mentionne la raison sociale et le siège social de la société émettrice des titres, l’identité et l’adresse du bénéficiaire, le nombre, le prix de souscription ou d’achat et la valeur des actions acquises à la date de la levée des options, la fraction du gain de levée d’option de source française, les dates d’attribution et de levée des options, le montant du rabais excédentaire. Ce document doit néanmoins être conservé et présenté à l’administration fiscale sur demande de sa part.</w:t>
      </w:r>
    </w:p>
    <w:p w14:paraId="4B4B8E04" w14:textId="5B7CD893" w:rsidR="00197C2B" w:rsidRDefault="00197C2B" w:rsidP="00FC0002">
      <w:pPr>
        <w:pStyle w:val="Titre3"/>
        <w:rPr>
          <w:szCs w:val="36"/>
        </w:rPr>
      </w:pPr>
      <w:bookmarkStart w:id="21" w:name="_Toc186712258"/>
      <w:r>
        <w:t>Les attributions gratuites d’actions (AGA)</w:t>
      </w:r>
      <w:bookmarkEnd w:id="21"/>
    </w:p>
    <w:p w14:paraId="11BDCB55" w14:textId="77777777" w:rsidR="00FD0054" w:rsidRDefault="00FD0054" w:rsidP="00FC0002">
      <w:pPr>
        <w:pStyle w:val="Titre4"/>
      </w:pPr>
    </w:p>
    <w:p w14:paraId="2C93FC08" w14:textId="15E94542" w:rsidR="00197C2B" w:rsidRDefault="00197C2B" w:rsidP="00FC0002">
      <w:pPr>
        <w:pStyle w:val="Titre4"/>
        <w:numPr>
          <w:ilvl w:val="0"/>
          <w:numId w:val="20"/>
        </w:numPr>
      </w:pPr>
      <w:r>
        <w:t>Champ d’application</w:t>
      </w:r>
    </w:p>
    <w:p w14:paraId="44388ACF" w14:textId="77777777" w:rsidR="00197C2B" w:rsidRDefault="00197C2B" w:rsidP="00FC0002">
      <w:pPr>
        <w:pStyle w:val="CGPC-elearning"/>
        <w:rPr>
          <w:rFonts w:ascii="Times New Roman" w:hAnsi="Times New Roman" w:cs="Times New Roman"/>
        </w:rPr>
      </w:pPr>
      <w:r>
        <w:t>Les sociétés par actions, cotées ou non cotées, peuvent attribuer, selon un régime fiscal et social favorable, sous certaines conditions et dans certaines limites, des actions gratuites à leurs salariés et mandataires sociaux (président du conseil d’administration, directeur général, directeurs généraux délégués, membres du directoire ou gérant d’une société par actions) ou à ceux des sociétés qui leur sont liées.</w:t>
      </w:r>
    </w:p>
    <w:p w14:paraId="4832011D" w14:textId="77777777" w:rsidR="00197C2B" w:rsidRDefault="00197C2B" w:rsidP="00FC0002">
      <w:pPr>
        <w:pStyle w:val="CGPC-elearning"/>
      </w:pPr>
      <w:r>
        <w:t>Ce régime s’applique également aux attributions gratuites effectuées, dans les mêmes conditions, par des sociétés dont le siège social est situé à l’étranger aux salariés et mandataires sociaux qui exercent leur activité dans des entreprises dont elles sont mères ou filiales.</w:t>
      </w:r>
    </w:p>
    <w:p w14:paraId="41618E2D" w14:textId="77777777" w:rsidR="00197C2B" w:rsidRDefault="00197C2B" w:rsidP="00FC0002">
      <w:pPr>
        <w:pStyle w:val="CGPC-elearning"/>
      </w:pPr>
      <w:r>
        <w:t>Le bénéficiaire d’actions gratuites attribuées sur autorisation de l’assemblée générale extraordinaire (AGE) intervenue avant le 8 août 2015 ne devient propriétaire des titres correspondants qu’au terme d’une période d’acquisition qui ne peut être inférieure à deux ans et ne peut pleinement en disposer qu’à l’issue d’une période de conservation dont la durée ne peut également être inférieure à deux ans.</w:t>
      </w:r>
    </w:p>
    <w:p w14:paraId="5698299D" w14:textId="77777777" w:rsidR="00197C2B" w:rsidRDefault="00197C2B" w:rsidP="00FC0002">
      <w:pPr>
        <w:pStyle w:val="CGPC-elearning"/>
      </w:pPr>
      <w:r>
        <w:t>Pour les actions gratuites attribuées sur autorisation de l’AGE intervenue à compter du 8 août 2015, la période d’acquisition, déterminée par l’AGE, ne peut pas être inférieure à un an. L’AGE n’est plus tenue de fixer une période de conservation, qui court à compter de l’attribution définitive des actions. Toutefois, la durée cumulée des périodes d’acquisition et de conservation des actions ne peut pas être inférieure à 2 ans.</w:t>
      </w:r>
    </w:p>
    <w:p w14:paraId="392E2517" w14:textId="77777777" w:rsidR="00FD0054" w:rsidRDefault="00FD0054" w:rsidP="00FC0002">
      <w:pPr>
        <w:pStyle w:val="CGPC-elearning"/>
      </w:pPr>
    </w:p>
    <w:p w14:paraId="26816100" w14:textId="525C1EF0" w:rsidR="00197C2B" w:rsidRDefault="00197C2B" w:rsidP="00FC0002">
      <w:pPr>
        <w:pStyle w:val="Titre4"/>
      </w:pPr>
      <w:r>
        <w:t>Les actions gratuites attribuées aux mandataires sociaux</w:t>
      </w:r>
    </w:p>
    <w:p w14:paraId="4C73053B" w14:textId="77777777" w:rsidR="00197C2B" w:rsidRDefault="00197C2B" w:rsidP="00FC0002">
      <w:pPr>
        <w:pStyle w:val="CGPC-elearning"/>
        <w:rPr>
          <w:rFonts w:ascii="Times New Roman" w:hAnsi="Times New Roman" w:cs="Times New Roman"/>
        </w:rPr>
      </w:pPr>
      <w:r>
        <w:t>En cas d’attribution d’actions gratuites aux mandataires sociaux, l’entreprise cotée en bourse doit remplir au moins une des conditions suivantes :</w:t>
      </w:r>
    </w:p>
    <w:p w14:paraId="739C862B" w14:textId="113D549A" w:rsidR="00197C2B" w:rsidRDefault="00FD0054" w:rsidP="00FC0002">
      <w:pPr>
        <w:pStyle w:val="CGPC-elearning"/>
      </w:pPr>
      <w:r>
        <w:t>L</w:t>
      </w:r>
      <w:r w:rsidR="00197C2B">
        <w:t>a société attribue des actions gratuites à l’ensemble de ses salariés et à au moins 90 % de l’ensemble des salariés de ses filiales ;</w:t>
      </w:r>
    </w:p>
    <w:p w14:paraId="56D40260" w14:textId="4407B1F0" w:rsidR="00197C2B" w:rsidRDefault="00FD0054" w:rsidP="00FC0002">
      <w:pPr>
        <w:pStyle w:val="CGPC-elearning"/>
      </w:pPr>
      <w:r>
        <w:t>L</w:t>
      </w:r>
      <w:r w:rsidR="00197C2B">
        <w:t>a société attribue des options à l’ensemble de ses salariés et à au moins 90 % % de l’ensemble des salariés de ses filiales ;</w:t>
      </w:r>
    </w:p>
    <w:p w14:paraId="1E6C064D" w14:textId="63C5AA59" w:rsidR="00197C2B" w:rsidRDefault="00FD0054" w:rsidP="00FC0002">
      <w:pPr>
        <w:pStyle w:val="CGPC-elearning"/>
      </w:pPr>
      <w:r>
        <w:t>A</w:t>
      </w:r>
      <w:r w:rsidR="00197C2B">
        <w:t>u moins 90 % des salariés des filiales françaises sont couverts par un accord d’intéressement ou de participation dérogatoire ou volontaire, et les modalités de calcul de ces accords sont améliorées avant l’attribution des actions gratuites ;</w:t>
      </w:r>
    </w:p>
    <w:p w14:paraId="313A8141" w14:textId="7456B207" w:rsidR="00197C2B" w:rsidRDefault="00FD0054" w:rsidP="00FC0002">
      <w:pPr>
        <w:pStyle w:val="CGPC-elearning"/>
      </w:pPr>
      <w:r>
        <w:lastRenderedPageBreak/>
        <w:t>L</w:t>
      </w:r>
      <w:r w:rsidR="00197C2B">
        <w:t>’ensemble des salariés éligibles de la société et au moins 90 % % de l’ensemble des salariés éligibles de ses filiales françaises bénéficient d’un versement supplémentaire de participation ou d’intéressement.</w:t>
      </w:r>
    </w:p>
    <w:p w14:paraId="3A51B973" w14:textId="77777777" w:rsidR="00FD0054" w:rsidRDefault="00FD0054" w:rsidP="00FC0002">
      <w:pPr>
        <w:pStyle w:val="CGPC-elearning"/>
      </w:pPr>
    </w:p>
    <w:p w14:paraId="2C7D66D1" w14:textId="794D0807" w:rsidR="00197C2B" w:rsidRDefault="00197C2B" w:rsidP="00FC0002">
      <w:pPr>
        <w:pStyle w:val="Titre4"/>
      </w:pPr>
      <w:r>
        <w:t>Procédure d’attribution des actions gratuites</w:t>
      </w:r>
    </w:p>
    <w:p w14:paraId="2F42E9C3" w14:textId="77777777" w:rsidR="008E6990" w:rsidRDefault="008E6990" w:rsidP="00197C2B">
      <w:pPr>
        <w:pStyle w:val="NormalWeb"/>
        <w:spacing w:before="0" w:beforeAutospacing="0" w:after="0" w:afterAutospacing="0"/>
        <w:jc w:val="both"/>
        <w:textAlignment w:val="baseline"/>
        <w:rPr>
          <w:sz w:val="21"/>
          <w:szCs w:val="21"/>
        </w:rPr>
      </w:pPr>
    </w:p>
    <w:p w14:paraId="61DE2F59" w14:textId="347608F8" w:rsidR="00197C2B" w:rsidRDefault="00197C2B" w:rsidP="00FC0002">
      <w:pPr>
        <w:pStyle w:val="CGPC-elearning"/>
        <w:rPr>
          <w:rFonts w:ascii="Times New Roman" w:hAnsi="Times New Roman" w:cs="Times New Roman"/>
        </w:rPr>
      </w:pPr>
      <w:r>
        <w:t>La décision d’attribuer des actions gratuites aux salariés doit être prise par une assemblée générale extraordinaire.</w:t>
      </w:r>
    </w:p>
    <w:p w14:paraId="23CB57DA" w14:textId="77777777" w:rsidR="00197C2B" w:rsidRDefault="00197C2B" w:rsidP="00FC0002">
      <w:pPr>
        <w:pStyle w:val="CGPC-elearning"/>
      </w:pPr>
      <w:r>
        <w:t>La décision doit préciser si l’attribution est faite à tous les salariés ou seulement à certains d’entre eux et lesquels.</w:t>
      </w:r>
    </w:p>
    <w:p w14:paraId="4AF61CF6" w14:textId="77777777" w:rsidR="00197C2B" w:rsidRDefault="00197C2B" w:rsidP="00FC0002">
      <w:pPr>
        <w:pStyle w:val="CGPC-elearning"/>
      </w:pPr>
      <w:r>
        <w:t>Le nombre total des actions attribuées gratuitement ne peut dépasser 10 % du capital social. Il n’est pas tenu compte pour la détermination de ce pourcentage des actions gratuites précédemment attribuées dont la propriété n’a finalement pas été transmise aux bénéficiaires ou qui ne sont plus soumises à l’obligation de conservation.</w:t>
      </w:r>
    </w:p>
    <w:p w14:paraId="5EC1F03E" w14:textId="77777777" w:rsidR="00197C2B" w:rsidRDefault="00197C2B" w:rsidP="00FC0002">
      <w:pPr>
        <w:pStyle w:val="CGPC-elearning"/>
      </w:pPr>
      <w:r>
        <w:t>L’attribution gratuite d’actions procure à son bénéficiaire :</w:t>
      </w:r>
    </w:p>
    <w:p w14:paraId="512A636C" w14:textId="3CF8B8FE" w:rsidR="00197C2B" w:rsidRDefault="00FD0054" w:rsidP="00FC0002">
      <w:pPr>
        <w:pStyle w:val="CGPC-elearning"/>
      </w:pPr>
      <w:r>
        <w:t xml:space="preserve">- </w:t>
      </w:r>
      <w:r w:rsidR="00197C2B">
        <w:t>un « gain d’acquisition » correspondant à la valeur des titres au jour de l’attribution définitive ;</w:t>
      </w:r>
    </w:p>
    <w:p w14:paraId="62350B76" w14:textId="146AA557" w:rsidR="00197C2B" w:rsidRDefault="00FD0054" w:rsidP="00FC0002">
      <w:pPr>
        <w:pStyle w:val="CGPC-elearning"/>
      </w:pPr>
      <w:r>
        <w:t xml:space="preserve">- </w:t>
      </w:r>
      <w:r w:rsidR="00197C2B">
        <w:t>une plus-value éventuelle de cession en cas de vente des actions attribuées.</w:t>
      </w:r>
    </w:p>
    <w:p w14:paraId="5A55A623" w14:textId="77777777" w:rsidR="00FD0054" w:rsidRDefault="00FD0054" w:rsidP="00FC0002">
      <w:pPr>
        <w:pStyle w:val="CGPC-elearning"/>
      </w:pPr>
    </w:p>
    <w:p w14:paraId="280596EB" w14:textId="154AAAF6" w:rsidR="00197C2B" w:rsidRDefault="00197C2B" w:rsidP="00FC0002">
      <w:pPr>
        <w:pStyle w:val="Titre4"/>
      </w:pPr>
      <w:r>
        <w:t>Régime fiscal du gain d’acquisition</w:t>
      </w:r>
    </w:p>
    <w:p w14:paraId="797B822B" w14:textId="77777777" w:rsidR="00197C2B" w:rsidRDefault="00197C2B" w:rsidP="00FC0002">
      <w:pPr>
        <w:pStyle w:val="CGPC-elearning"/>
        <w:rPr>
          <w:rFonts w:ascii="Times New Roman" w:hAnsi="Times New Roman" w:cs="Times New Roman"/>
        </w:rPr>
      </w:pPr>
      <w:r>
        <w:t>Le gain d’acquisition est imposé lors de la cession des actions (à titre onéreux ou gratuit), en même temps que l’imposition de la plus-value éventuelle de cession.</w:t>
      </w:r>
    </w:p>
    <w:p w14:paraId="123DB2CB" w14:textId="77777777" w:rsidR="00197C2B" w:rsidRDefault="00197C2B" w:rsidP="00FC0002">
      <w:pPr>
        <w:pStyle w:val="CGPC-elearning"/>
      </w:pPr>
      <w:r>
        <w:t>Le régime fiscal du gain d’acquisition diffère selon la date d’attribution des actions :</w:t>
      </w:r>
    </w:p>
    <w:p w14:paraId="6400E34C" w14:textId="77777777" w:rsidR="00197C2B" w:rsidRDefault="00197C2B" w:rsidP="00FC0002">
      <w:pPr>
        <w:pStyle w:val="CGPC-elearning"/>
      </w:pPr>
      <w:r>
        <w:t>si les actions ont été attribuées avant le 28 septembre 2012, le gain d’acquisition est soumis à un taux forfaitaire de 30 % sous réserve d’avoir respecté les périodes d’acquisition et de conservation, soit quatre ans. Il est possible d’opter pour l’imposition du gain au barème de l’impôt sur le revenu dans la catégorie des traitements et salaires. Le gain est soumis aux prélèvements sociaux au taux de 17,2 % ;</w:t>
      </w:r>
    </w:p>
    <w:p w14:paraId="111CB460" w14:textId="77777777" w:rsidR="00197C2B" w:rsidRPr="008E6990" w:rsidRDefault="00197C2B" w:rsidP="00FC0002">
      <w:pPr>
        <w:pStyle w:val="CGPC-elearning"/>
      </w:pPr>
      <w:r>
        <w:t xml:space="preserve">si les actions ont été attribuées entre le 28 septembre 2012 et le 7 août 2015, le gain d’acquisition est imposable au </w:t>
      </w:r>
      <w:r w:rsidRPr="008E6990">
        <w:t>barème de l’impôt sur le revenu selon les règles des traitements et salaires. Le gain est soumis aux prélèvements sociaux au taux de 9,7 % ;</w:t>
      </w:r>
    </w:p>
    <w:p w14:paraId="15409195" w14:textId="77777777" w:rsidR="00197C2B" w:rsidRPr="008E6990" w:rsidRDefault="00197C2B" w:rsidP="00FC0002">
      <w:pPr>
        <w:pStyle w:val="CGPC-elearning"/>
      </w:pPr>
      <w:r w:rsidRPr="008E6990">
        <w:t xml:space="preserve">si les actions ont été attribuées entre le 8 août 2015 et le 30 décembre 2016, le gain d’acquisition est soumis à une imposition similaire à celle d’une plus-value de cession de valeurs mobilières, c’est-à-dire une imposition selon le barème progressif de l’impôt sur le revenu après application éventuelle de l’abattement </w:t>
      </w:r>
      <w:r w:rsidRPr="008E6990">
        <w:lastRenderedPageBreak/>
        <w:t>de droit commun, de l’abattement renforcé ou de l’abattement spécifique de 500 000 euros en faveur des dirigeants de PME partant à la retraite. Le gain est soumis aux prélèvements sociaux au taux de 17,2 % ;</w:t>
      </w:r>
    </w:p>
    <w:p w14:paraId="691DB846" w14:textId="77777777" w:rsidR="00197C2B" w:rsidRPr="008E6990" w:rsidRDefault="00197C2B" w:rsidP="00FC0002">
      <w:pPr>
        <w:pStyle w:val="CGPC-elearning"/>
      </w:pPr>
      <w:r w:rsidRPr="008E6990">
        <w:t>si les actions ont été attribuées entre le 31 décembre 2016 et le 31 décembre 2017, le gain d’acquisition n’excédant pas 300 000 euros est soumis au régime du barème progressif de l’impôt sur le revenu après application des abattements pour durée de détention prévus pour les plus-values mobilières ou de l’abattement fixe de 500 000 euros en faveur des dirigeants de PME partant à la retraite. Le surplus du gain d’acquisition excédant 300 000 euros est soumis au barème progressif de l’impôt sur le revenu dans la catégorie des traitements et salaires (sans application d’aucun abattement pour durée de détention). Le gain est soumis aux prélèvements sociaux au taux de 17,2 % à hauteur de 300 000 euros et au taux de 9,7 % pour le surplus excédant 300 000 euros ;</w:t>
      </w:r>
    </w:p>
    <w:p w14:paraId="343349A5" w14:textId="77777777" w:rsidR="00197C2B" w:rsidRPr="008E6990" w:rsidRDefault="00197C2B" w:rsidP="00FC0002">
      <w:pPr>
        <w:pStyle w:val="CGPC-elearning"/>
      </w:pPr>
      <w:r w:rsidRPr="008E6990">
        <w:t>pour les actions gratuites attribuées à compter du 1er janvier 2018, la fraction du gain d’acquisition n’excédant pas 300 000 euros est imposable au barème progressif avec application d’un abattement unique de 50 % sans condition de durée de détention ou, si les actions sont cédées par un dirigeant partant à la retraite, de l’abattement fixe de 500 000 euros et pour le surplus de l’abattement de 50 %. La fraction du gain excédant 300 000 euros reste imposable dans la catégorie des traitements et salaires (sans application d’aucun abattement pour durée de détention). Le gain est soumis aux prélèvements sociaux au taux de 17,2 % à hauteur de 300 000 euros et au taux de 9,7 % pour le surplus excédant 300 000 euros.</w:t>
      </w:r>
    </w:p>
    <w:p w14:paraId="5DD4A932" w14:textId="058157A5" w:rsidR="00C12BC9" w:rsidRPr="008E6990" w:rsidRDefault="00197C2B" w:rsidP="00FC0002">
      <w:pPr>
        <w:pStyle w:val="CGPC-elearning"/>
      </w:pPr>
      <w:r w:rsidRPr="008E6990">
        <w:t>Les gains d’acquisition d’actions gratuites attribuées depuis le 16 octobre 2007 sont également assujettis à la contribution salariale de 10 % lorsque ceux-ci sont soumis à l’impôt sur le revenu dans la catégorie des traitements et salaires. </w:t>
      </w:r>
      <w:r w:rsidRPr="008E6990">
        <w:rPr>
          <w:rStyle w:val="Accentuation"/>
          <w:i w:val="0"/>
          <w:iCs w:val="0"/>
        </w:rPr>
        <w:t>A contrario</w:t>
      </w:r>
      <w:r w:rsidRPr="008E6990">
        <w:t>, lorsque les gains d’acquisition sont imposables selon les règles des plus-values de cessions de valeurs mobilières, la contribution salariale de 10 % ne s’applique pas.</w:t>
      </w:r>
    </w:p>
    <w:sectPr w:rsidR="00C12BC9" w:rsidRPr="008E6990" w:rsidSect="00AC29AB">
      <w:type w:val="continuous"/>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DFAFD2" w14:textId="77777777" w:rsidR="00CC5AB1" w:rsidRDefault="00CC5AB1" w:rsidP="002020F9">
      <w:pPr>
        <w:spacing w:after="0" w:line="240" w:lineRule="auto"/>
      </w:pPr>
      <w:r>
        <w:separator/>
      </w:r>
    </w:p>
  </w:endnote>
  <w:endnote w:type="continuationSeparator" w:id="0">
    <w:p w14:paraId="7BD50F8E" w14:textId="77777777" w:rsidR="00CC5AB1" w:rsidRDefault="00CC5AB1"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A95FAE74-ED04-4BB0-AB91-9AF215337C04}"/>
    <w:embedBold r:id="rId2" w:fontKey="{A8E2545D-F924-4BE8-8807-2CD5BDE75635}"/>
    <w:embedItalic r:id="rId3" w:fontKey="{CEFAD51C-F2AD-4AB4-9C9D-D1F915EB8003}"/>
    <w:embedBoldItalic r:id="rId4" w:fontKey="{FE5EC0E4-B7E7-448C-B786-1B8C5B62647C}"/>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embedRegular r:id="rId5" w:fontKey="{A1D75E93-57C4-4DF0-90DD-191F7F2EF562}"/>
    <w:embedBold r:id="rId6" w:fontKey="{700E484E-6F43-4664-BBB1-BF8CB8706575}"/>
    <w:embedItalic r:id="rId7" w:fontKey="{4B4B4ADB-6C5A-4141-814F-CFF29689D4BB}"/>
    <w:embedBoldItalic r:id="rId8" w:fontKey="{55D0B672-9B54-4911-9D19-F5AAA04ECFF2}"/>
  </w:font>
  <w:font w:name="Calibri Light">
    <w:panose1 w:val="020F0302020204030204"/>
    <w:charset w:val="00"/>
    <w:family w:val="swiss"/>
    <w:pitch w:val="variable"/>
    <w:sig w:usb0="E4002EFF" w:usb1="C200247B" w:usb2="00000009" w:usb3="00000000" w:csb0="000001FF" w:csb1="00000000"/>
    <w:embedRegular r:id="rId9" w:fontKey="{AFDCC199-8F8B-45BF-8C42-827A20FAEF7B}"/>
  </w:font>
  <w:font w:name="Tahoma">
    <w:panose1 w:val="020B0604030504040204"/>
    <w:charset w:val="00"/>
    <w:family w:val="swiss"/>
    <w:pitch w:val="variable"/>
    <w:sig w:usb0="E1002EFF" w:usb1="C000605B" w:usb2="00000029" w:usb3="00000000" w:csb0="000101FF" w:csb1="00000000"/>
    <w:embedRegular r:id="rId10" w:fontKey="{B7DC26A7-1F1C-4F23-9DA7-02BD34CE1B1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34257286"/>
      <w:docPartObj>
        <w:docPartGallery w:val="Page Numbers (Bottom of Page)"/>
        <w:docPartUnique/>
      </w:docPartObj>
    </w:sdtPr>
    <w:sdtContent>
      <w:p w14:paraId="45A75971" w14:textId="1FF717E7" w:rsidR="009D3ACC" w:rsidRDefault="00BF6145">
        <w:pPr>
          <w:pStyle w:val="Pieddepage"/>
        </w:pPr>
        <w:r>
          <w:fldChar w:fldCharType="begin"/>
        </w:r>
        <w:r>
          <w:instrText>PAGE   \* MERGEFORMAT</w:instrText>
        </w:r>
        <w:r>
          <w:fldChar w:fldCharType="separate"/>
        </w:r>
        <w:r>
          <w:t>2</w:t>
        </w:r>
        <w:r>
          <w:fldChar w:fldCharType="end"/>
        </w:r>
        <w:r>
          <w:t xml:space="preserve"> </w:t>
        </w:r>
        <w:r w:rsidRPr="00BF6145">
          <w:t>Copyright© CGPC®</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DCFC5B" w14:textId="77777777" w:rsidR="00CC5AB1" w:rsidRDefault="00CC5AB1" w:rsidP="002020F9">
      <w:pPr>
        <w:spacing w:after="0" w:line="240" w:lineRule="auto"/>
      </w:pPr>
      <w:r>
        <w:separator/>
      </w:r>
    </w:p>
  </w:footnote>
  <w:footnote w:type="continuationSeparator" w:id="0">
    <w:p w14:paraId="76BAE392" w14:textId="77777777" w:rsidR="00CC5AB1" w:rsidRDefault="00CC5AB1"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4F1888" w14:textId="12F48232" w:rsidR="00BF6145" w:rsidRDefault="00BF6145">
    <w:pPr>
      <w:pStyle w:val="En-tte"/>
    </w:pPr>
    <w:r>
      <w:rPr>
        <w:noProof/>
      </w:rPr>
      <mc:AlternateContent>
        <mc:Choice Requires="wps">
          <w:drawing>
            <wp:anchor distT="0" distB="0" distL="118745" distR="118745" simplePos="0" relativeHeight="251658240" behindDoc="1" locked="0" layoutInCell="1" allowOverlap="0" wp14:anchorId="49337FB8" wp14:editId="57B7A197">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07FA5DA8" w14:textId="72F3B057" w:rsidR="00BF6145" w:rsidRDefault="00BF6145">
                              <w:pPr>
                                <w:pStyle w:val="En-tte"/>
                                <w:jc w:val="center"/>
                                <w:rPr>
                                  <w:caps/>
                                  <w:color w:val="FFFFFF" w:themeColor="background1"/>
                                </w:rPr>
                              </w:pPr>
                              <w:r>
                                <w:rPr>
                                  <w:caps/>
                                  <w:color w:val="FFFFFF" w:themeColor="background1"/>
                                </w:rPr>
                                <w:t>Chapitre 2 : Des rémunérations du dirigeant d’entreprise en fonction de la forme sociétaire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49337FB8" id="Rectangle 200" o:spid="_x0000_s1026" style="position:absolute;left:0;text-align:left;margin-left:0;margin-top:0;width:468.5pt;height:21.3pt;z-index:-251658240;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07FA5DA8" w14:textId="72F3B057" w:rsidR="00BF6145" w:rsidRDefault="00BF6145">
                        <w:pPr>
                          <w:pStyle w:val="En-tte"/>
                          <w:jc w:val="center"/>
                          <w:rPr>
                            <w:caps/>
                            <w:color w:val="FFFFFF" w:themeColor="background1"/>
                          </w:rPr>
                        </w:pPr>
                        <w:r>
                          <w:rPr>
                            <w:caps/>
                            <w:color w:val="FFFFFF" w:themeColor="background1"/>
                          </w:rPr>
                          <w:t>Chapitre 2 : Des rémunérations du dirigeant d’entreprise en fonction de la forme sociétaire</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06" type="#_x0000_t75" style="width:409.5pt;height:409.5pt;visibility:visible;mso-wrap-style:square" o:bullet="t">
        <v:imagedata r:id="rId1" o:title=""/>
      </v:shape>
    </w:pict>
  </w:numPicBullet>
  <w:abstractNum w:abstractNumId="0" w15:restartNumberingAfterBreak="0">
    <w:nsid w:val="1CBA4247"/>
    <w:multiLevelType w:val="hybridMultilevel"/>
    <w:tmpl w:val="4CA246E4"/>
    <w:lvl w:ilvl="0" w:tplc="11BA699E">
      <w:start w:val="1"/>
      <w:numFmt w:val="upperLetter"/>
      <w:pStyle w:val="Titre4"/>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 w15:restartNumberingAfterBreak="0">
    <w:nsid w:val="1EB955B1"/>
    <w:multiLevelType w:val="hybridMultilevel"/>
    <w:tmpl w:val="27EAAA22"/>
    <w:lvl w:ilvl="0" w:tplc="7836226C">
      <w:start w:val="1"/>
      <w:numFmt w:val="decimal"/>
      <w:pStyle w:val="Titre3"/>
      <w:lvlText w:val="%1."/>
      <w:lvlJc w:val="left"/>
      <w:pPr>
        <w:ind w:left="360" w:hanging="360"/>
      </w:pPr>
      <w:rPr>
        <w:rFonts w:hint="default"/>
      </w:rPr>
    </w:lvl>
    <w:lvl w:ilvl="1" w:tplc="FFFFFFFF" w:tentative="1">
      <w:start w:val="1"/>
      <w:numFmt w:val="lowerLetter"/>
      <w:lvlText w:val="%2."/>
      <w:lvlJc w:val="left"/>
      <w:pPr>
        <w:ind w:left="-2340" w:hanging="360"/>
      </w:pPr>
    </w:lvl>
    <w:lvl w:ilvl="2" w:tplc="FFFFFFFF" w:tentative="1">
      <w:start w:val="1"/>
      <w:numFmt w:val="lowerRoman"/>
      <w:lvlText w:val="%3."/>
      <w:lvlJc w:val="right"/>
      <w:pPr>
        <w:ind w:left="-1620" w:hanging="180"/>
      </w:pPr>
    </w:lvl>
    <w:lvl w:ilvl="3" w:tplc="FFFFFFFF" w:tentative="1">
      <w:start w:val="1"/>
      <w:numFmt w:val="decimal"/>
      <w:lvlText w:val="%4."/>
      <w:lvlJc w:val="left"/>
      <w:pPr>
        <w:ind w:left="-900" w:hanging="360"/>
      </w:pPr>
    </w:lvl>
    <w:lvl w:ilvl="4" w:tplc="FFFFFFFF" w:tentative="1">
      <w:start w:val="1"/>
      <w:numFmt w:val="lowerLetter"/>
      <w:lvlText w:val="%5."/>
      <w:lvlJc w:val="left"/>
      <w:pPr>
        <w:ind w:left="-180" w:hanging="360"/>
      </w:pPr>
    </w:lvl>
    <w:lvl w:ilvl="5" w:tplc="FFFFFFFF" w:tentative="1">
      <w:start w:val="1"/>
      <w:numFmt w:val="lowerRoman"/>
      <w:lvlText w:val="%6."/>
      <w:lvlJc w:val="right"/>
      <w:pPr>
        <w:ind w:left="540" w:hanging="180"/>
      </w:pPr>
    </w:lvl>
    <w:lvl w:ilvl="6" w:tplc="FFFFFFFF" w:tentative="1">
      <w:start w:val="1"/>
      <w:numFmt w:val="decimal"/>
      <w:lvlText w:val="%7."/>
      <w:lvlJc w:val="left"/>
      <w:pPr>
        <w:ind w:left="1260" w:hanging="360"/>
      </w:pPr>
    </w:lvl>
    <w:lvl w:ilvl="7" w:tplc="FFFFFFFF" w:tentative="1">
      <w:start w:val="1"/>
      <w:numFmt w:val="lowerLetter"/>
      <w:lvlText w:val="%8."/>
      <w:lvlJc w:val="left"/>
      <w:pPr>
        <w:ind w:left="1980" w:hanging="360"/>
      </w:pPr>
    </w:lvl>
    <w:lvl w:ilvl="8" w:tplc="FFFFFFFF" w:tentative="1">
      <w:start w:val="1"/>
      <w:numFmt w:val="lowerRoman"/>
      <w:lvlText w:val="%9."/>
      <w:lvlJc w:val="right"/>
      <w:pPr>
        <w:ind w:left="2700" w:hanging="180"/>
      </w:pPr>
    </w:lvl>
  </w:abstractNum>
  <w:abstractNum w:abstractNumId="2"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4314407"/>
    <w:multiLevelType w:val="multilevel"/>
    <w:tmpl w:val="3BA82190"/>
    <w:lvl w:ilvl="0">
      <w:start w:val="1"/>
      <w:numFmt w:val="upperRoman"/>
      <w:pStyle w:val="Titre2"/>
      <w:lvlText w:val="%1."/>
      <w:lvlJc w:val="right"/>
      <w:pPr>
        <w:ind w:left="1080" w:hanging="360"/>
      </w:pPr>
    </w:lvl>
    <w:lvl w:ilvl="1">
      <w:start w:val="1"/>
      <w:numFmt w:val="decimal"/>
      <w:lvlText w:val="%2."/>
      <w:lvlJc w:val="left"/>
      <w:pPr>
        <w:tabs>
          <w:tab w:val="num" w:pos="1800"/>
        </w:tabs>
        <w:ind w:left="1800" w:hanging="720"/>
      </w:pPr>
    </w:lvl>
    <w:lvl w:ilvl="2">
      <w:start w:val="1"/>
      <w:numFmt w:val="decimal"/>
      <w:lvlText w:val="%3."/>
      <w:lvlJc w:val="left"/>
      <w:pPr>
        <w:tabs>
          <w:tab w:val="num" w:pos="2520"/>
        </w:tabs>
        <w:ind w:left="2520" w:hanging="720"/>
      </w:pPr>
    </w:lvl>
    <w:lvl w:ilvl="3">
      <w:start w:val="1"/>
      <w:numFmt w:val="decimal"/>
      <w:lvlText w:val="%4."/>
      <w:lvlJc w:val="left"/>
      <w:pPr>
        <w:tabs>
          <w:tab w:val="num" w:pos="3240"/>
        </w:tabs>
        <w:ind w:left="3240" w:hanging="720"/>
      </w:pPr>
    </w:lvl>
    <w:lvl w:ilvl="4">
      <w:start w:val="1"/>
      <w:numFmt w:val="decimal"/>
      <w:lvlText w:val="%5."/>
      <w:lvlJc w:val="left"/>
      <w:pPr>
        <w:tabs>
          <w:tab w:val="num" w:pos="3960"/>
        </w:tabs>
        <w:ind w:left="3960" w:hanging="720"/>
      </w:pPr>
    </w:lvl>
    <w:lvl w:ilvl="5">
      <w:start w:val="1"/>
      <w:numFmt w:val="decimal"/>
      <w:lvlText w:val="%6."/>
      <w:lvlJc w:val="left"/>
      <w:pPr>
        <w:tabs>
          <w:tab w:val="num" w:pos="4680"/>
        </w:tabs>
        <w:ind w:left="4680" w:hanging="720"/>
      </w:pPr>
    </w:lvl>
    <w:lvl w:ilvl="6">
      <w:start w:val="1"/>
      <w:numFmt w:val="decimal"/>
      <w:lvlText w:val="%7."/>
      <w:lvlJc w:val="left"/>
      <w:pPr>
        <w:tabs>
          <w:tab w:val="num" w:pos="5400"/>
        </w:tabs>
        <w:ind w:left="5400" w:hanging="720"/>
      </w:pPr>
    </w:lvl>
    <w:lvl w:ilvl="7">
      <w:start w:val="1"/>
      <w:numFmt w:val="decimal"/>
      <w:lvlText w:val="%8."/>
      <w:lvlJc w:val="left"/>
      <w:pPr>
        <w:tabs>
          <w:tab w:val="num" w:pos="6120"/>
        </w:tabs>
        <w:ind w:left="6120" w:hanging="720"/>
      </w:pPr>
    </w:lvl>
    <w:lvl w:ilvl="8">
      <w:start w:val="1"/>
      <w:numFmt w:val="decimal"/>
      <w:lvlText w:val="%9."/>
      <w:lvlJc w:val="left"/>
      <w:pPr>
        <w:tabs>
          <w:tab w:val="num" w:pos="6840"/>
        </w:tabs>
        <w:ind w:left="6840" w:hanging="720"/>
      </w:pPr>
    </w:lvl>
  </w:abstractNum>
  <w:abstractNum w:abstractNumId="4" w15:restartNumberingAfterBreak="0">
    <w:nsid w:val="72556569"/>
    <w:multiLevelType w:val="hybridMultilevel"/>
    <w:tmpl w:val="AECEAB8E"/>
    <w:lvl w:ilvl="0" w:tplc="E926E3E0">
      <w:start w:val="1"/>
      <w:numFmt w:val="lowerLetter"/>
      <w:pStyle w:val="Titre5"/>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145318550">
    <w:abstractNumId w:val="3"/>
  </w:num>
  <w:num w:numId="2" w16cid:durableId="1002274749">
    <w:abstractNumId w:val="2"/>
  </w:num>
  <w:num w:numId="3" w16cid:durableId="1250626674">
    <w:abstractNumId w:val="4"/>
  </w:num>
  <w:num w:numId="4" w16cid:durableId="952636410">
    <w:abstractNumId w:val="0"/>
    <w:lvlOverride w:ilvl="0">
      <w:startOverride w:val="1"/>
    </w:lvlOverride>
  </w:num>
  <w:num w:numId="5" w16cid:durableId="233586095">
    <w:abstractNumId w:val="4"/>
    <w:lvlOverride w:ilvl="0">
      <w:startOverride w:val="1"/>
    </w:lvlOverride>
  </w:num>
  <w:num w:numId="6" w16cid:durableId="174929655">
    <w:abstractNumId w:val="1"/>
  </w:num>
  <w:num w:numId="7" w16cid:durableId="1796826586">
    <w:abstractNumId w:val="1"/>
    <w:lvlOverride w:ilvl="0">
      <w:startOverride w:val="1"/>
    </w:lvlOverride>
  </w:num>
  <w:num w:numId="8" w16cid:durableId="772632165">
    <w:abstractNumId w:val="1"/>
    <w:lvlOverride w:ilvl="0">
      <w:startOverride w:val="1"/>
    </w:lvlOverride>
  </w:num>
  <w:num w:numId="9" w16cid:durableId="1333803348">
    <w:abstractNumId w:val="0"/>
  </w:num>
  <w:num w:numId="10" w16cid:durableId="1442870453">
    <w:abstractNumId w:val="1"/>
    <w:lvlOverride w:ilvl="0">
      <w:startOverride w:val="1"/>
    </w:lvlOverride>
  </w:num>
  <w:num w:numId="11" w16cid:durableId="1562865262">
    <w:abstractNumId w:val="1"/>
    <w:lvlOverride w:ilvl="0">
      <w:startOverride w:val="1"/>
    </w:lvlOverride>
  </w:num>
  <w:num w:numId="12" w16cid:durableId="528182999">
    <w:abstractNumId w:val="4"/>
    <w:lvlOverride w:ilvl="0">
      <w:startOverride w:val="1"/>
    </w:lvlOverride>
  </w:num>
  <w:num w:numId="13" w16cid:durableId="986711512">
    <w:abstractNumId w:val="0"/>
    <w:lvlOverride w:ilvl="0">
      <w:startOverride w:val="1"/>
    </w:lvlOverride>
  </w:num>
  <w:num w:numId="14" w16cid:durableId="356736496">
    <w:abstractNumId w:val="0"/>
    <w:lvlOverride w:ilvl="0">
      <w:startOverride w:val="1"/>
    </w:lvlOverride>
  </w:num>
  <w:num w:numId="15" w16cid:durableId="364134342">
    <w:abstractNumId w:val="0"/>
    <w:lvlOverride w:ilvl="0">
      <w:startOverride w:val="1"/>
    </w:lvlOverride>
  </w:num>
  <w:num w:numId="16" w16cid:durableId="1650671585">
    <w:abstractNumId w:val="0"/>
    <w:lvlOverride w:ilvl="0">
      <w:startOverride w:val="1"/>
    </w:lvlOverride>
  </w:num>
  <w:num w:numId="17" w16cid:durableId="1730111844">
    <w:abstractNumId w:val="0"/>
    <w:lvlOverride w:ilvl="0">
      <w:startOverride w:val="1"/>
    </w:lvlOverride>
  </w:num>
  <w:num w:numId="18" w16cid:durableId="125054323">
    <w:abstractNumId w:val="0"/>
    <w:lvlOverride w:ilvl="0">
      <w:startOverride w:val="1"/>
    </w:lvlOverride>
  </w:num>
  <w:num w:numId="19" w16cid:durableId="1965305721">
    <w:abstractNumId w:val="0"/>
    <w:lvlOverride w:ilvl="0">
      <w:startOverride w:val="1"/>
    </w:lvlOverride>
  </w:num>
  <w:num w:numId="20" w16cid:durableId="583564545">
    <w:abstractNumId w:val="0"/>
    <w:lvlOverride w:ilvl="0">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0"/>
  <w:embedTrueTypeFonts/>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3774"/>
    <w:rsid w:val="00002841"/>
    <w:rsid w:val="00006107"/>
    <w:rsid w:val="0001567E"/>
    <w:rsid w:val="00026686"/>
    <w:rsid w:val="00055D7D"/>
    <w:rsid w:val="000612E0"/>
    <w:rsid w:val="00070BD5"/>
    <w:rsid w:val="00074CCE"/>
    <w:rsid w:val="00075E24"/>
    <w:rsid w:val="0007671E"/>
    <w:rsid w:val="000A4FFA"/>
    <w:rsid w:val="000A60F2"/>
    <w:rsid w:val="000C2B3F"/>
    <w:rsid w:val="000C5F54"/>
    <w:rsid w:val="001238EF"/>
    <w:rsid w:val="00137673"/>
    <w:rsid w:val="001525E5"/>
    <w:rsid w:val="001628E5"/>
    <w:rsid w:val="00167507"/>
    <w:rsid w:val="001915DB"/>
    <w:rsid w:val="001960E3"/>
    <w:rsid w:val="00197C2B"/>
    <w:rsid w:val="001B5802"/>
    <w:rsid w:val="001E58CB"/>
    <w:rsid w:val="001E78C4"/>
    <w:rsid w:val="001F4976"/>
    <w:rsid w:val="00200B59"/>
    <w:rsid w:val="002020F9"/>
    <w:rsid w:val="00212583"/>
    <w:rsid w:val="00221024"/>
    <w:rsid w:val="00224F0D"/>
    <w:rsid w:val="00233047"/>
    <w:rsid w:val="00233D58"/>
    <w:rsid w:val="002352E6"/>
    <w:rsid w:val="00253339"/>
    <w:rsid w:val="002863E1"/>
    <w:rsid w:val="00286C1B"/>
    <w:rsid w:val="002E04A2"/>
    <w:rsid w:val="002E7C98"/>
    <w:rsid w:val="0030508E"/>
    <w:rsid w:val="00326184"/>
    <w:rsid w:val="0034375D"/>
    <w:rsid w:val="003533E4"/>
    <w:rsid w:val="003569CC"/>
    <w:rsid w:val="00361E0B"/>
    <w:rsid w:val="0036727B"/>
    <w:rsid w:val="00387DA8"/>
    <w:rsid w:val="00395D9F"/>
    <w:rsid w:val="003A0A69"/>
    <w:rsid w:val="003B23A6"/>
    <w:rsid w:val="003D2EB1"/>
    <w:rsid w:val="003D57D5"/>
    <w:rsid w:val="003D69B1"/>
    <w:rsid w:val="00415D2C"/>
    <w:rsid w:val="00483641"/>
    <w:rsid w:val="004A28DF"/>
    <w:rsid w:val="004C5E68"/>
    <w:rsid w:val="004F7075"/>
    <w:rsid w:val="0050555B"/>
    <w:rsid w:val="005312DD"/>
    <w:rsid w:val="00552D7D"/>
    <w:rsid w:val="0056165E"/>
    <w:rsid w:val="00563C2E"/>
    <w:rsid w:val="00566450"/>
    <w:rsid w:val="00566BDA"/>
    <w:rsid w:val="0058472E"/>
    <w:rsid w:val="00593DBA"/>
    <w:rsid w:val="005941FD"/>
    <w:rsid w:val="005E41CC"/>
    <w:rsid w:val="005F0983"/>
    <w:rsid w:val="00605F62"/>
    <w:rsid w:val="00610771"/>
    <w:rsid w:val="00624CAE"/>
    <w:rsid w:val="0062781F"/>
    <w:rsid w:val="006325C6"/>
    <w:rsid w:val="00677448"/>
    <w:rsid w:val="00685544"/>
    <w:rsid w:val="006A5E91"/>
    <w:rsid w:val="006B074D"/>
    <w:rsid w:val="006B2D34"/>
    <w:rsid w:val="006D0FC2"/>
    <w:rsid w:val="006E2203"/>
    <w:rsid w:val="00700DF2"/>
    <w:rsid w:val="007269D6"/>
    <w:rsid w:val="007351F2"/>
    <w:rsid w:val="00744C46"/>
    <w:rsid w:val="007659B9"/>
    <w:rsid w:val="00780465"/>
    <w:rsid w:val="007A379E"/>
    <w:rsid w:val="007C3853"/>
    <w:rsid w:val="007F2091"/>
    <w:rsid w:val="00826CAE"/>
    <w:rsid w:val="00834AAF"/>
    <w:rsid w:val="00872D07"/>
    <w:rsid w:val="0088467E"/>
    <w:rsid w:val="008A52B4"/>
    <w:rsid w:val="008D272E"/>
    <w:rsid w:val="008E6990"/>
    <w:rsid w:val="00910D5B"/>
    <w:rsid w:val="00913774"/>
    <w:rsid w:val="00932636"/>
    <w:rsid w:val="00937625"/>
    <w:rsid w:val="00944089"/>
    <w:rsid w:val="00951CFF"/>
    <w:rsid w:val="009667D3"/>
    <w:rsid w:val="00984F19"/>
    <w:rsid w:val="009A61A2"/>
    <w:rsid w:val="009A7A08"/>
    <w:rsid w:val="009D3ACC"/>
    <w:rsid w:val="00A03C81"/>
    <w:rsid w:val="00A13493"/>
    <w:rsid w:val="00A253EC"/>
    <w:rsid w:val="00A47AC9"/>
    <w:rsid w:val="00A7577F"/>
    <w:rsid w:val="00A84649"/>
    <w:rsid w:val="00A87FD6"/>
    <w:rsid w:val="00AA6E58"/>
    <w:rsid w:val="00AB5284"/>
    <w:rsid w:val="00AB5B32"/>
    <w:rsid w:val="00AC29AB"/>
    <w:rsid w:val="00AC3233"/>
    <w:rsid w:val="00AC4FFD"/>
    <w:rsid w:val="00AE36BE"/>
    <w:rsid w:val="00AE3DF2"/>
    <w:rsid w:val="00B0501B"/>
    <w:rsid w:val="00B10DE0"/>
    <w:rsid w:val="00B13B22"/>
    <w:rsid w:val="00B16EA9"/>
    <w:rsid w:val="00B25AB9"/>
    <w:rsid w:val="00B34910"/>
    <w:rsid w:val="00B42117"/>
    <w:rsid w:val="00B42E87"/>
    <w:rsid w:val="00B5286C"/>
    <w:rsid w:val="00B630C8"/>
    <w:rsid w:val="00B75B22"/>
    <w:rsid w:val="00B8067C"/>
    <w:rsid w:val="00B81391"/>
    <w:rsid w:val="00BA1531"/>
    <w:rsid w:val="00BA4A7A"/>
    <w:rsid w:val="00BA7B7A"/>
    <w:rsid w:val="00BC0441"/>
    <w:rsid w:val="00BF26CA"/>
    <w:rsid w:val="00BF4DAF"/>
    <w:rsid w:val="00BF6145"/>
    <w:rsid w:val="00BF7C89"/>
    <w:rsid w:val="00C10135"/>
    <w:rsid w:val="00C119CF"/>
    <w:rsid w:val="00C12BC9"/>
    <w:rsid w:val="00C17D12"/>
    <w:rsid w:val="00C33BF2"/>
    <w:rsid w:val="00C434F9"/>
    <w:rsid w:val="00C44C02"/>
    <w:rsid w:val="00C83889"/>
    <w:rsid w:val="00C86C18"/>
    <w:rsid w:val="00CC5221"/>
    <w:rsid w:val="00CC5AB1"/>
    <w:rsid w:val="00D30A3F"/>
    <w:rsid w:val="00D40C02"/>
    <w:rsid w:val="00D5574B"/>
    <w:rsid w:val="00D647DA"/>
    <w:rsid w:val="00D7312E"/>
    <w:rsid w:val="00D812F3"/>
    <w:rsid w:val="00DB64A5"/>
    <w:rsid w:val="00DE3098"/>
    <w:rsid w:val="00E008CD"/>
    <w:rsid w:val="00E31B12"/>
    <w:rsid w:val="00E539C0"/>
    <w:rsid w:val="00E541EC"/>
    <w:rsid w:val="00E57CBB"/>
    <w:rsid w:val="00E678EF"/>
    <w:rsid w:val="00E96BE2"/>
    <w:rsid w:val="00EA0B89"/>
    <w:rsid w:val="00EB02FF"/>
    <w:rsid w:val="00EB0768"/>
    <w:rsid w:val="00EC5D12"/>
    <w:rsid w:val="00EC652C"/>
    <w:rsid w:val="00ED4021"/>
    <w:rsid w:val="00F06218"/>
    <w:rsid w:val="00F22A0B"/>
    <w:rsid w:val="00F47F63"/>
    <w:rsid w:val="00F66618"/>
    <w:rsid w:val="00FA49CD"/>
    <w:rsid w:val="00FC0002"/>
    <w:rsid w:val="00FC45BC"/>
    <w:rsid w:val="00FD0054"/>
    <w:rsid w:val="00FD50BB"/>
    <w:rsid w:val="00FD73FA"/>
    <w:rsid w:val="00FF233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docId w15:val="{E2FE913B-D3C6-46F0-A830-22498DD873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7C3853"/>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552D7D"/>
    <w:pPr>
      <w:keepNext/>
      <w:keepLines/>
      <w:numPr>
        <w:numId w:val="2"/>
      </w:numPr>
      <w:shd w:val="clear" w:color="auto" w:fill="FFFFFF"/>
      <w:spacing w:after="0" w:line="900" w:lineRule="atLeast"/>
      <w:jc w:val="left"/>
      <w:textAlignment w:val="baseline"/>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A84649"/>
    <w:pPr>
      <w:keepNext/>
      <w:keepLines/>
      <w:numPr>
        <w:numId w:val="1"/>
      </w:numPr>
      <w:spacing w:before="360" w:after="360" w:line="240" w:lineRule="auto"/>
      <w:contextualSpacing/>
      <w:jc w:val="both"/>
      <w:textAlignment w:val="baseline"/>
      <w:outlineLvl w:val="1"/>
    </w:pPr>
    <w:rPr>
      <w:rFonts w:eastAsiaTheme="majorEastAsia"/>
      <w:b/>
      <w:color w:val="FFFFFF" w:themeColor="background1"/>
      <w:sz w:val="48"/>
      <w:szCs w:val="26"/>
      <w:bdr w:val="none" w:sz="0" w:space="0" w:color="auto" w:frame="1"/>
    </w:rPr>
  </w:style>
  <w:style w:type="paragraph" w:styleId="Titre3">
    <w:name w:val="heading 3"/>
    <w:aliases w:val="Titre 3 CGPC"/>
    <w:basedOn w:val="CGPC-elearning"/>
    <w:next w:val="Normal"/>
    <w:link w:val="Titre3Car"/>
    <w:autoRedefine/>
    <w:uiPriority w:val="9"/>
    <w:unhideWhenUsed/>
    <w:qFormat/>
    <w:rsid w:val="007C3853"/>
    <w:pPr>
      <w:keepNext/>
      <w:keepLines/>
      <w:numPr>
        <w:numId w:val="6"/>
      </w:numPr>
      <w:shd w:val="clear" w:color="auto" w:fill="FFFFFF"/>
      <w:spacing w:before="240" w:after="240" w:line="240" w:lineRule="auto"/>
      <w:jc w:val="both"/>
      <w:textAlignment w:val="baseline"/>
      <w:outlineLvl w:val="2"/>
    </w:pPr>
    <w:rPr>
      <w:rFonts w:eastAsia="Times New Roman"/>
      <w:b/>
      <w:color w:val="3A5D9C"/>
      <w:sz w:val="44"/>
      <w:szCs w:val="30"/>
      <w:bdr w:val="none" w:sz="0" w:space="0" w:color="auto" w:frame="1"/>
      <w:lang w:eastAsia="fr-FR"/>
    </w:rPr>
  </w:style>
  <w:style w:type="paragraph" w:styleId="Titre4">
    <w:name w:val="heading 4"/>
    <w:aliases w:val="Titre 4 CGPC"/>
    <w:basedOn w:val="CGPC-elearning"/>
    <w:next w:val="Normal"/>
    <w:link w:val="Titre4Car"/>
    <w:autoRedefine/>
    <w:uiPriority w:val="9"/>
    <w:unhideWhenUsed/>
    <w:qFormat/>
    <w:rsid w:val="007C3853"/>
    <w:pPr>
      <w:keepNext/>
      <w:keepLines/>
      <w:numPr>
        <w:numId w:val="9"/>
      </w:numPr>
      <w:spacing w:before="280" w:after="240"/>
      <w:outlineLvl w:val="3"/>
    </w:pPr>
    <w:rPr>
      <w:rFonts w:eastAsiaTheme="majorEastAsia" w:cstheme="majorBidi"/>
      <w:b/>
      <w:iCs/>
      <w:color w:val="2F5496" w:themeColor="accent1" w:themeShade="BF"/>
      <w:sz w:val="40"/>
      <w:bdr w:val="none" w:sz="0" w:space="0" w:color="auto" w:frame="1"/>
    </w:rPr>
  </w:style>
  <w:style w:type="paragraph" w:styleId="Titre5">
    <w:name w:val="heading 5"/>
    <w:aliases w:val="Titre 5 CGPC"/>
    <w:basedOn w:val="CGPC-elearning"/>
    <w:next w:val="Normal"/>
    <w:link w:val="Titre5Car"/>
    <w:autoRedefine/>
    <w:uiPriority w:val="9"/>
    <w:unhideWhenUsed/>
    <w:qFormat/>
    <w:rsid w:val="00C434F9"/>
    <w:pPr>
      <w:keepNext/>
      <w:keepLines/>
      <w:numPr>
        <w:numId w:val="3"/>
      </w:numPr>
      <w:spacing w:before="400" w:after="360"/>
      <w:outlineLvl w:val="4"/>
    </w:pPr>
    <w:rPr>
      <w:rFonts w:eastAsia="Times New Roman" w:cstheme="majorBidi"/>
      <w:b/>
      <w:i/>
      <w:color w:val="2F5496" w:themeColor="accent1" w:themeShade="BF"/>
      <w:sz w:val="36"/>
      <w:bdr w:val="none" w:sz="0" w:space="0" w:color="auto" w:frame="1"/>
      <w:lang w:eastAsia="fr-FR"/>
    </w:rPr>
  </w:style>
  <w:style w:type="paragraph" w:styleId="Titre6">
    <w:name w:val="heading 6"/>
    <w:basedOn w:val="Normal"/>
    <w:next w:val="Normal"/>
    <w:link w:val="Titre6Car"/>
    <w:uiPriority w:val="9"/>
    <w:semiHidden/>
    <w:unhideWhenUsed/>
    <w:qFormat/>
    <w:rsid w:val="0056165E"/>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A84649"/>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552D7D"/>
    <w:rPr>
      <w:rFonts w:ascii="Open Sans" w:eastAsiaTheme="majorEastAsia" w:hAnsi="Open Sans" w:cstheme="majorBidi"/>
      <w:b/>
      <w:kern w:val="0"/>
      <w:sz w:val="60"/>
      <w:szCs w:val="32"/>
      <w:shd w:val="clear" w:color="auto" w:fill="FFFFFF"/>
      <w14:ligatures w14:val="none"/>
    </w:rPr>
  </w:style>
  <w:style w:type="paragraph" w:customStyle="1" w:styleId="CGPC-elearning">
    <w:name w:val="CGPC-elearning"/>
    <w:basedOn w:val="Normal"/>
    <w:link w:val="CGPC-elearningCar"/>
    <w:autoRedefine/>
    <w:qFormat/>
    <w:rsid w:val="00FC0002"/>
    <w:pPr>
      <w:ind w:left="349"/>
      <w:jc w:val="left"/>
    </w:pPr>
    <w:rPr>
      <w:rFonts w:cs="Open Sans"/>
      <w:bCs/>
      <w:kern w:val="2"/>
      <w:szCs w:val="24"/>
      <w14:ligatures w14:val="standardContextual"/>
    </w:rPr>
  </w:style>
  <w:style w:type="character" w:customStyle="1" w:styleId="CGPC-elearningCar">
    <w:name w:val="CGPC-elearning Car"/>
    <w:basedOn w:val="Policepardfaut"/>
    <w:link w:val="CGPC-elearning"/>
    <w:rsid w:val="00FC0002"/>
    <w:rPr>
      <w:rFonts w:ascii="Open Sans" w:hAnsi="Open Sans" w:cs="Open Sans"/>
      <w:bCs/>
      <w:sz w:val="28"/>
      <w:szCs w:val="24"/>
    </w:rPr>
  </w:style>
  <w:style w:type="character" w:customStyle="1" w:styleId="Titre3Car">
    <w:name w:val="Titre 3 Car"/>
    <w:aliases w:val="Titre 3 CGPC Car"/>
    <w:basedOn w:val="Policepardfaut"/>
    <w:link w:val="Titre3"/>
    <w:uiPriority w:val="9"/>
    <w:rsid w:val="007C3853"/>
    <w:rPr>
      <w:rFonts w:ascii="Open Sans" w:eastAsia="Times New Roman" w:hAnsi="Open Sans" w:cs="Open Sans"/>
      <w:b/>
      <w:bCs/>
      <w:color w:val="3A5D9C"/>
      <w:sz w:val="44"/>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7C3853"/>
    <w:rPr>
      <w:rFonts w:ascii="Open Sans" w:eastAsiaTheme="majorEastAsia" w:hAnsi="Open Sans" w:cstheme="majorBidi"/>
      <w:b/>
      <w:bCs/>
      <w:iCs/>
      <w:color w:val="2F5496" w:themeColor="accent1" w:themeShade="BF"/>
      <w:sz w:val="40"/>
      <w:szCs w:val="24"/>
      <w:bdr w:val="none" w:sz="0" w:space="0" w:color="auto" w:frame="1"/>
    </w:rPr>
  </w:style>
  <w:style w:type="character" w:customStyle="1" w:styleId="Titre5Car">
    <w:name w:val="Titre 5 Car"/>
    <w:aliases w:val="Titre 5 CGPC Car"/>
    <w:basedOn w:val="Policepardfaut"/>
    <w:link w:val="Titre5"/>
    <w:uiPriority w:val="9"/>
    <w:rsid w:val="00C434F9"/>
    <w:rPr>
      <w:rFonts w:ascii="Open Sans" w:eastAsia="Times New Roman" w:hAnsi="Open Sans" w:cstheme="majorBidi"/>
      <w:b/>
      <w:bCs/>
      <w:i/>
      <w:color w:val="2F5496" w:themeColor="accent1" w:themeShade="BF"/>
      <w:sz w:val="36"/>
      <w:szCs w:val="24"/>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character" w:customStyle="1" w:styleId="Titre6Car">
    <w:name w:val="Titre 6 Car"/>
    <w:basedOn w:val="Policepardfaut"/>
    <w:link w:val="Titre6"/>
    <w:uiPriority w:val="9"/>
    <w:semiHidden/>
    <w:rsid w:val="0056165E"/>
    <w:rPr>
      <w:rFonts w:asciiTheme="majorHAnsi" w:eastAsiaTheme="majorEastAsia" w:hAnsiTheme="majorHAnsi" w:cstheme="majorBidi"/>
      <w:color w:val="1F3763" w:themeColor="accent1" w:themeShade="7F"/>
      <w:kern w:val="0"/>
      <w:sz w:val="24"/>
      <w14:ligatures w14:val="none"/>
    </w:rPr>
  </w:style>
  <w:style w:type="character" w:customStyle="1" w:styleId="Mentionnonrsolue1">
    <w:name w:val="Mention non résolue1"/>
    <w:basedOn w:val="Policepardfaut"/>
    <w:uiPriority w:val="99"/>
    <w:semiHidden/>
    <w:unhideWhenUsed/>
    <w:rsid w:val="00605F62"/>
    <w:rPr>
      <w:color w:val="605E5C"/>
      <w:shd w:val="clear" w:color="auto" w:fill="E1DFDD"/>
    </w:rPr>
  </w:style>
  <w:style w:type="paragraph" w:styleId="TM4">
    <w:name w:val="toc 4"/>
    <w:basedOn w:val="Normal"/>
    <w:next w:val="Normal"/>
    <w:autoRedefine/>
    <w:uiPriority w:val="39"/>
    <w:unhideWhenUsed/>
    <w:rsid w:val="00FF2330"/>
    <w:pPr>
      <w:spacing w:after="100"/>
      <w:ind w:left="720"/>
    </w:pPr>
  </w:style>
  <w:style w:type="paragraph" w:styleId="Textedebulles">
    <w:name w:val="Balloon Text"/>
    <w:basedOn w:val="Normal"/>
    <w:link w:val="TextedebullesCar"/>
    <w:uiPriority w:val="99"/>
    <w:semiHidden/>
    <w:unhideWhenUsed/>
    <w:rsid w:val="00AB5B32"/>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B5B32"/>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49682955">
      <w:bodyDiv w:val="1"/>
      <w:marLeft w:val="0"/>
      <w:marRight w:val="0"/>
      <w:marTop w:val="0"/>
      <w:marBottom w:val="0"/>
      <w:divBdr>
        <w:top w:val="none" w:sz="0" w:space="0" w:color="auto"/>
        <w:left w:val="none" w:sz="0" w:space="0" w:color="auto"/>
        <w:bottom w:val="none" w:sz="0" w:space="0" w:color="auto"/>
        <w:right w:val="none" w:sz="0" w:space="0" w:color="auto"/>
      </w:divBdr>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5820379">
      <w:bodyDiv w:val="1"/>
      <w:marLeft w:val="0"/>
      <w:marRight w:val="0"/>
      <w:marTop w:val="0"/>
      <w:marBottom w:val="0"/>
      <w:divBdr>
        <w:top w:val="none" w:sz="0" w:space="0" w:color="auto"/>
        <w:left w:val="none" w:sz="0" w:space="0" w:color="auto"/>
        <w:bottom w:val="none" w:sz="0" w:space="0" w:color="auto"/>
        <w:right w:val="none" w:sz="0" w:space="0" w:color="auto"/>
      </w:divBdr>
      <w:divsChild>
        <w:div w:id="1120685018">
          <w:marLeft w:val="0"/>
          <w:marRight w:val="0"/>
          <w:marTop w:val="240"/>
          <w:marBottom w:val="240"/>
          <w:divBdr>
            <w:top w:val="none" w:sz="0" w:space="0" w:color="auto"/>
            <w:left w:val="none" w:sz="0" w:space="0" w:color="auto"/>
            <w:bottom w:val="none" w:sz="0" w:space="0" w:color="auto"/>
            <w:right w:val="none" w:sz="0" w:space="0" w:color="auto"/>
          </w:divBdr>
          <w:divsChild>
            <w:div w:id="684524476">
              <w:marLeft w:val="0"/>
              <w:marRight w:val="0"/>
              <w:marTop w:val="0"/>
              <w:marBottom w:val="0"/>
              <w:divBdr>
                <w:top w:val="none" w:sz="0" w:space="0" w:color="auto"/>
                <w:left w:val="none" w:sz="0" w:space="0" w:color="auto"/>
                <w:bottom w:val="none" w:sz="0" w:space="0" w:color="auto"/>
                <w:right w:val="none" w:sz="0" w:space="0" w:color="auto"/>
              </w:divBdr>
              <w:divsChild>
                <w:div w:id="226428212">
                  <w:marLeft w:val="0"/>
                  <w:marRight w:val="0"/>
                  <w:marTop w:val="0"/>
                  <w:marBottom w:val="0"/>
                  <w:divBdr>
                    <w:top w:val="none" w:sz="0" w:space="0" w:color="auto"/>
                    <w:left w:val="none" w:sz="0" w:space="0" w:color="auto"/>
                    <w:bottom w:val="none" w:sz="0" w:space="0" w:color="auto"/>
                    <w:right w:val="none" w:sz="0" w:space="0" w:color="auto"/>
                  </w:divBdr>
                  <w:divsChild>
                    <w:div w:id="2031376209">
                      <w:marLeft w:val="0"/>
                      <w:marRight w:val="0"/>
                      <w:marTop w:val="0"/>
                      <w:marBottom w:val="0"/>
                      <w:divBdr>
                        <w:top w:val="none" w:sz="0" w:space="0" w:color="auto"/>
                        <w:left w:val="none" w:sz="0" w:space="0" w:color="auto"/>
                        <w:bottom w:val="none" w:sz="0" w:space="0" w:color="auto"/>
                        <w:right w:val="none" w:sz="0" w:space="0" w:color="auto"/>
                      </w:divBdr>
                      <w:divsChild>
                        <w:div w:id="584919269">
                          <w:marLeft w:val="0"/>
                          <w:marRight w:val="0"/>
                          <w:marTop w:val="0"/>
                          <w:marBottom w:val="0"/>
                          <w:divBdr>
                            <w:top w:val="none" w:sz="0" w:space="0" w:color="auto"/>
                            <w:left w:val="none" w:sz="0" w:space="0" w:color="auto"/>
                            <w:bottom w:val="none" w:sz="0" w:space="0" w:color="auto"/>
                            <w:right w:val="none" w:sz="0" w:space="0" w:color="auto"/>
                          </w:divBdr>
                          <w:divsChild>
                            <w:div w:id="420877398">
                              <w:marLeft w:val="0"/>
                              <w:marRight w:val="0"/>
                              <w:marTop w:val="0"/>
                              <w:marBottom w:val="0"/>
                              <w:divBdr>
                                <w:top w:val="none" w:sz="0" w:space="0" w:color="auto"/>
                                <w:left w:val="none" w:sz="0" w:space="0" w:color="auto"/>
                                <w:bottom w:val="none" w:sz="0" w:space="0" w:color="auto"/>
                                <w:right w:val="none" w:sz="0" w:space="0" w:color="auto"/>
                              </w:divBdr>
                              <w:divsChild>
                                <w:div w:id="74908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320496">
                      <w:marLeft w:val="0"/>
                      <w:marRight w:val="0"/>
                      <w:marTop w:val="0"/>
                      <w:marBottom w:val="0"/>
                      <w:divBdr>
                        <w:top w:val="none" w:sz="0" w:space="0" w:color="auto"/>
                        <w:left w:val="none" w:sz="0" w:space="0" w:color="auto"/>
                        <w:bottom w:val="none" w:sz="0" w:space="0" w:color="auto"/>
                        <w:right w:val="none" w:sz="0" w:space="0" w:color="auto"/>
                      </w:divBdr>
                      <w:divsChild>
                        <w:div w:id="1357730511">
                          <w:marLeft w:val="0"/>
                          <w:marRight w:val="0"/>
                          <w:marTop w:val="0"/>
                          <w:marBottom w:val="0"/>
                          <w:divBdr>
                            <w:top w:val="none" w:sz="0" w:space="0" w:color="auto"/>
                            <w:left w:val="none" w:sz="0" w:space="0" w:color="auto"/>
                            <w:bottom w:val="none" w:sz="0" w:space="0" w:color="auto"/>
                            <w:right w:val="none" w:sz="0" w:space="0" w:color="auto"/>
                          </w:divBdr>
                          <w:divsChild>
                            <w:div w:id="39396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017592">
                      <w:marLeft w:val="0"/>
                      <w:marRight w:val="0"/>
                      <w:marTop w:val="0"/>
                      <w:marBottom w:val="0"/>
                      <w:divBdr>
                        <w:top w:val="none" w:sz="0" w:space="0" w:color="auto"/>
                        <w:left w:val="none" w:sz="0" w:space="0" w:color="auto"/>
                        <w:bottom w:val="none" w:sz="0" w:space="0" w:color="auto"/>
                        <w:right w:val="none" w:sz="0" w:space="0" w:color="auto"/>
                      </w:divBdr>
                      <w:divsChild>
                        <w:div w:id="1946762883">
                          <w:marLeft w:val="0"/>
                          <w:marRight w:val="0"/>
                          <w:marTop w:val="0"/>
                          <w:marBottom w:val="0"/>
                          <w:divBdr>
                            <w:top w:val="none" w:sz="0" w:space="0" w:color="auto"/>
                            <w:left w:val="none" w:sz="0" w:space="0" w:color="auto"/>
                            <w:bottom w:val="none" w:sz="0" w:space="0" w:color="auto"/>
                            <w:right w:val="none" w:sz="0" w:space="0" w:color="auto"/>
                          </w:divBdr>
                          <w:divsChild>
                            <w:div w:id="640842324">
                              <w:marLeft w:val="0"/>
                              <w:marRight w:val="0"/>
                              <w:marTop w:val="0"/>
                              <w:marBottom w:val="0"/>
                              <w:divBdr>
                                <w:top w:val="none" w:sz="0" w:space="0" w:color="auto"/>
                                <w:left w:val="none" w:sz="0" w:space="0" w:color="auto"/>
                                <w:bottom w:val="none" w:sz="0" w:space="0" w:color="auto"/>
                                <w:right w:val="none" w:sz="0" w:space="0" w:color="auto"/>
                              </w:divBdr>
                            </w:div>
                            <w:div w:id="696003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88382">
                      <w:marLeft w:val="0"/>
                      <w:marRight w:val="0"/>
                      <w:marTop w:val="0"/>
                      <w:marBottom w:val="0"/>
                      <w:divBdr>
                        <w:top w:val="none" w:sz="0" w:space="0" w:color="auto"/>
                        <w:left w:val="none" w:sz="0" w:space="0" w:color="auto"/>
                        <w:bottom w:val="none" w:sz="0" w:space="0" w:color="auto"/>
                        <w:right w:val="none" w:sz="0" w:space="0" w:color="auto"/>
                      </w:divBdr>
                      <w:divsChild>
                        <w:div w:id="1049525940">
                          <w:marLeft w:val="0"/>
                          <w:marRight w:val="0"/>
                          <w:marTop w:val="0"/>
                          <w:marBottom w:val="0"/>
                          <w:divBdr>
                            <w:top w:val="none" w:sz="0" w:space="0" w:color="auto"/>
                            <w:left w:val="none" w:sz="0" w:space="0" w:color="auto"/>
                            <w:bottom w:val="none" w:sz="0" w:space="0" w:color="auto"/>
                            <w:right w:val="none" w:sz="0" w:space="0" w:color="auto"/>
                          </w:divBdr>
                          <w:divsChild>
                            <w:div w:id="406001881">
                              <w:marLeft w:val="0"/>
                              <w:marRight w:val="0"/>
                              <w:marTop w:val="0"/>
                              <w:marBottom w:val="0"/>
                              <w:divBdr>
                                <w:top w:val="none" w:sz="0" w:space="0" w:color="auto"/>
                                <w:left w:val="none" w:sz="0" w:space="0" w:color="auto"/>
                                <w:bottom w:val="none" w:sz="0" w:space="0" w:color="auto"/>
                                <w:right w:val="none" w:sz="0" w:space="0" w:color="auto"/>
                              </w:divBdr>
                            </w:div>
                          </w:divsChild>
                        </w:div>
                        <w:div w:id="965232899">
                          <w:marLeft w:val="0"/>
                          <w:marRight w:val="0"/>
                          <w:marTop w:val="0"/>
                          <w:marBottom w:val="0"/>
                          <w:divBdr>
                            <w:top w:val="none" w:sz="0" w:space="0" w:color="auto"/>
                            <w:left w:val="none" w:sz="0" w:space="0" w:color="auto"/>
                            <w:bottom w:val="none" w:sz="0" w:space="0" w:color="auto"/>
                            <w:right w:val="none" w:sz="0" w:space="0" w:color="auto"/>
                          </w:divBdr>
                          <w:divsChild>
                            <w:div w:id="210364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915221">
                      <w:marLeft w:val="0"/>
                      <w:marRight w:val="0"/>
                      <w:marTop w:val="960"/>
                      <w:marBottom w:val="960"/>
                      <w:divBdr>
                        <w:top w:val="single" w:sz="6" w:space="24" w:color="E7E7E8"/>
                        <w:left w:val="single" w:sz="2" w:space="0" w:color="E7E7E8"/>
                        <w:bottom w:val="single" w:sz="6" w:space="24" w:color="E7E7E8"/>
                        <w:right w:val="single" w:sz="2" w:space="0" w:color="E7E7E8"/>
                      </w:divBdr>
                      <w:divsChild>
                        <w:div w:id="259333334">
                          <w:marLeft w:val="0"/>
                          <w:marRight w:val="0"/>
                          <w:marTop w:val="0"/>
                          <w:marBottom w:val="0"/>
                          <w:divBdr>
                            <w:top w:val="none" w:sz="0" w:space="0" w:color="auto"/>
                            <w:left w:val="none" w:sz="0" w:space="0" w:color="auto"/>
                            <w:bottom w:val="none" w:sz="0" w:space="0" w:color="auto"/>
                            <w:right w:val="none" w:sz="0" w:space="0" w:color="auto"/>
                          </w:divBdr>
                          <w:divsChild>
                            <w:div w:id="1477145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081562547">
      <w:bodyDiv w:val="1"/>
      <w:marLeft w:val="0"/>
      <w:marRight w:val="0"/>
      <w:marTop w:val="0"/>
      <w:marBottom w:val="0"/>
      <w:divBdr>
        <w:top w:val="none" w:sz="0" w:space="0" w:color="auto"/>
        <w:left w:val="none" w:sz="0" w:space="0" w:color="auto"/>
        <w:bottom w:val="none" w:sz="0" w:space="0" w:color="auto"/>
        <w:right w:val="none" w:sz="0" w:space="0" w:color="auto"/>
      </w:divBdr>
      <w:divsChild>
        <w:div w:id="361370307">
          <w:blockQuote w:val="1"/>
          <w:marLeft w:val="0"/>
          <w:marRight w:val="0"/>
          <w:marTop w:val="300"/>
          <w:marBottom w:val="450"/>
          <w:divBdr>
            <w:top w:val="none" w:sz="0" w:space="0" w:color="2C498B"/>
            <w:left w:val="single" w:sz="36" w:space="15" w:color="2C498B"/>
            <w:bottom w:val="none" w:sz="0" w:space="0" w:color="2C498B"/>
            <w:right w:val="none" w:sz="0" w:space="0" w:color="2C498B"/>
          </w:divBdr>
        </w:div>
        <w:div w:id="852765150">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1.png"/><Relationship Id="rId45" Type="http://schemas.openxmlformats.org/officeDocument/2006/relationships/image" Target="media/image33.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4.png"/><Relationship Id="rId20" Type="http://schemas.openxmlformats.org/officeDocument/2006/relationships/image" Target="media/image9.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F4353E-057C-42C1-81D4-79381B5E6440}"/>
</file>

<file path=customXml/itemProps2.xml><?xml version="1.0" encoding="utf-8"?>
<ds:datastoreItem xmlns:ds="http://schemas.openxmlformats.org/officeDocument/2006/customXml" ds:itemID="{7617B507-3C70-49E7-905A-060C6D0826D8}">
  <ds:schemaRefs>
    <ds:schemaRef ds:uri="http://schemas.microsoft.com/sharepoint/v3/contenttype/forms"/>
  </ds:schemaRefs>
</ds:datastoreItem>
</file>

<file path=customXml/itemProps3.xml><?xml version="1.0" encoding="utf-8"?>
<ds:datastoreItem xmlns:ds="http://schemas.openxmlformats.org/officeDocument/2006/customXml" ds:itemID="{79857606-3121-46C0-8A64-DB313EAFF5BB}">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4.xml><?xml version="1.0" encoding="utf-8"?>
<ds:datastoreItem xmlns:ds="http://schemas.openxmlformats.org/officeDocument/2006/customXml" ds:itemID="{527491B5-5F97-44B1-999E-05923C6A6C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51</Pages>
  <Words>9468</Words>
  <Characters>53974</Characters>
  <Application>Microsoft Office Word</Application>
  <DocSecurity>0</DocSecurity>
  <Lines>449</Lines>
  <Paragraphs>126</Paragraphs>
  <ScaleCrop>false</ScaleCrop>
  <HeadingPairs>
    <vt:vector size="2" baseType="variant">
      <vt:variant>
        <vt:lpstr>Titre</vt:lpstr>
      </vt:variant>
      <vt:variant>
        <vt:i4>1</vt:i4>
      </vt:variant>
    </vt:vector>
  </HeadingPairs>
  <TitlesOfParts>
    <vt:vector size="1" baseType="lpstr">
      <vt:lpstr>Chapitre 2</vt:lpstr>
    </vt:vector>
  </TitlesOfParts>
  <Company>CGPC - membre DE FPSB</Company>
  <LinksUpToDate>false</LinksUpToDate>
  <CharactersWithSpaces>63316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2 : Des rémunérations du dirigeant d’entreprise en fonction de la forme sociétaire</dc:title>
  <dc:subject>Des rémunérations du dirigeant d’entreprise en fonction de la forme sociétaire</dc:subject>
  <dc:creator>Renaud Duval</dc:creator>
  <cp:lastModifiedBy>Renaud Duval</cp:lastModifiedBy>
  <cp:revision>61</cp:revision>
  <cp:lastPrinted>2024-02-16T12:53:00Z</cp:lastPrinted>
  <dcterms:created xsi:type="dcterms:W3CDTF">2024-03-03T16:51:00Z</dcterms:created>
  <dcterms:modified xsi:type="dcterms:W3CDTF">2025-01-02T11:11:00Z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